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CB5D6" w14:textId="77777777" w:rsidR="00C0376A" w:rsidRDefault="00C0376A">
      <w:pPr>
        <w:jc w:val="center"/>
        <w:rPr>
          <w:rFonts w:ascii="Times New Roman" w:hAnsi="Times New Roman"/>
          <w:b/>
          <w:bCs/>
          <w:sz w:val="24"/>
          <w:szCs w:val="24"/>
          <w:lang w:val="en-US"/>
        </w:rPr>
      </w:pPr>
    </w:p>
    <w:p w14:paraId="16B87EF4" w14:textId="77777777" w:rsidR="00C0376A" w:rsidRDefault="00000000">
      <w:pPr>
        <w:jc w:val="center"/>
      </w:pPr>
      <w:r>
        <w:rPr>
          <w:noProof/>
        </w:rPr>
        <w:drawing>
          <wp:inline distT="0" distB="0" distL="0" distR="0" wp14:anchorId="2BE6C5A7" wp14:editId="4F397481">
            <wp:extent cx="2466978" cy="1352553"/>
            <wp:effectExtent l="0" t="0" r="9522" b="0"/>
            <wp:docPr id="1261751965"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66978" cy="1352553"/>
                    </a:xfrm>
                    <a:prstGeom prst="rect">
                      <a:avLst/>
                    </a:prstGeom>
                    <a:noFill/>
                    <a:ln>
                      <a:noFill/>
                      <a:prstDash/>
                    </a:ln>
                  </pic:spPr>
                </pic:pic>
              </a:graphicData>
            </a:graphic>
          </wp:inline>
        </w:drawing>
      </w:r>
    </w:p>
    <w:p w14:paraId="3EEB1090" w14:textId="77777777" w:rsidR="00C0376A" w:rsidRDefault="00C0376A">
      <w:pPr>
        <w:jc w:val="center"/>
        <w:rPr>
          <w:rFonts w:ascii="Times New Roman" w:hAnsi="Times New Roman"/>
          <w:b/>
          <w:bCs/>
          <w:sz w:val="24"/>
          <w:szCs w:val="24"/>
          <w:lang w:val="en-US"/>
        </w:rPr>
      </w:pPr>
    </w:p>
    <w:p w14:paraId="5AE72772" w14:textId="77777777" w:rsidR="00C0376A" w:rsidRDefault="00C0376A">
      <w:pPr>
        <w:jc w:val="center"/>
        <w:rPr>
          <w:rFonts w:ascii="Times New Roman" w:hAnsi="Times New Roman"/>
          <w:b/>
          <w:bCs/>
          <w:sz w:val="24"/>
          <w:szCs w:val="24"/>
          <w:lang w:val="en-US"/>
        </w:rPr>
      </w:pPr>
    </w:p>
    <w:p w14:paraId="70E13706" w14:textId="77777777" w:rsidR="00C0376A" w:rsidRDefault="00000000">
      <w:pPr>
        <w:jc w:val="center"/>
        <w:rPr>
          <w:rFonts w:ascii="Times New Roman" w:hAnsi="Times New Roman"/>
          <w:b/>
          <w:bCs/>
          <w:sz w:val="24"/>
          <w:szCs w:val="24"/>
          <w:lang w:val="en-US"/>
        </w:rPr>
      </w:pPr>
      <w:r>
        <w:rPr>
          <w:rFonts w:ascii="Times New Roman" w:hAnsi="Times New Roman"/>
          <w:b/>
          <w:bCs/>
          <w:sz w:val="24"/>
          <w:szCs w:val="24"/>
          <w:lang w:val="en-US"/>
        </w:rPr>
        <w:t>ANNUAL ASSURANCE STATEMENT</w:t>
      </w:r>
    </w:p>
    <w:p w14:paraId="0B08CFA1" w14:textId="77777777" w:rsidR="00C0376A" w:rsidRDefault="00000000">
      <w:pPr>
        <w:jc w:val="center"/>
        <w:rPr>
          <w:rFonts w:ascii="Times New Roman" w:hAnsi="Times New Roman"/>
          <w:b/>
          <w:bCs/>
          <w:sz w:val="24"/>
          <w:szCs w:val="24"/>
          <w:lang w:val="en-US"/>
        </w:rPr>
      </w:pPr>
      <w:r>
        <w:rPr>
          <w:rFonts w:ascii="Times New Roman" w:hAnsi="Times New Roman"/>
          <w:b/>
          <w:bCs/>
          <w:sz w:val="24"/>
          <w:szCs w:val="24"/>
          <w:lang w:val="en-US"/>
        </w:rPr>
        <w:t>OCTOBER 2021</w:t>
      </w:r>
    </w:p>
    <w:p w14:paraId="6C11FD12" w14:textId="77777777" w:rsidR="00C0376A" w:rsidRDefault="00C0376A">
      <w:pPr>
        <w:jc w:val="center"/>
        <w:rPr>
          <w:rFonts w:ascii="Times New Roman" w:hAnsi="Times New Roman"/>
          <w:sz w:val="24"/>
          <w:szCs w:val="24"/>
          <w:lang w:val="en-US"/>
        </w:rPr>
      </w:pPr>
    </w:p>
    <w:p w14:paraId="0926947A" w14:textId="77777777" w:rsidR="00C0376A" w:rsidRDefault="00000000">
      <w:r>
        <w:rPr>
          <w:rFonts w:ascii="Times New Roman" w:hAnsi="Times New Roman"/>
          <w:sz w:val="24"/>
          <w:szCs w:val="24"/>
          <w:lang w:val="en-US"/>
        </w:rPr>
        <w:t xml:space="preserve">The Management Committee of Kingsridge </w:t>
      </w:r>
      <w:proofErr w:type="spellStart"/>
      <w:r>
        <w:rPr>
          <w:rFonts w:ascii="Times New Roman" w:hAnsi="Times New Roman"/>
          <w:sz w:val="24"/>
          <w:szCs w:val="24"/>
          <w:lang w:val="en-US"/>
        </w:rPr>
        <w:t>Cleddans</w:t>
      </w:r>
      <w:proofErr w:type="spellEnd"/>
      <w:r>
        <w:rPr>
          <w:rFonts w:ascii="Times New Roman" w:hAnsi="Times New Roman"/>
          <w:sz w:val="24"/>
          <w:szCs w:val="24"/>
          <w:lang w:val="en-US"/>
        </w:rPr>
        <w:t xml:space="preserve"> Housing Association are pleased to provide our 3</w:t>
      </w:r>
      <w:r>
        <w:rPr>
          <w:rFonts w:ascii="Times New Roman" w:hAnsi="Times New Roman"/>
          <w:sz w:val="24"/>
          <w:szCs w:val="24"/>
          <w:vertAlign w:val="superscript"/>
          <w:lang w:val="en-US"/>
        </w:rPr>
        <w:t>rd</w:t>
      </w:r>
      <w:r>
        <w:rPr>
          <w:rFonts w:ascii="Times New Roman" w:hAnsi="Times New Roman"/>
          <w:sz w:val="24"/>
          <w:szCs w:val="24"/>
          <w:lang w:val="en-US"/>
        </w:rPr>
        <w:t xml:space="preserve"> Annual Assurance Statement to the Scottish Housing Regulator, our tenants and service users. The Annual Assurance Statement will be published on our website and newsletters.</w:t>
      </w:r>
    </w:p>
    <w:p w14:paraId="281AC664" w14:textId="77777777" w:rsidR="00C0376A" w:rsidRDefault="00000000">
      <w:pPr>
        <w:rPr>
          <w:rFonts w:ascii="Times New Roman" w:hAnsi="Times New Roman"/>
          <w:sz w:val="24"/>
          <w:szCs w:val="24"/>
          <w:lang w:val="en-US"/>
        </w:rPr>
      </w:pPr>
      <w:r>
        <w:rPr>
          <w:rFonts w:ascii="Times New Roman" w:hAnsi="Times New Roman"/>
          <w:sz w:val="24"/>
          <w:szCs w:val="24"/>
          <w:lang w:val="en-US"/>
        </w:rPr>
        <w:t xml:space="preserve">Effective compliance with Regulatory Standards is a continual ongoing process where performance requires to be assessed, </w:t>
      </w:r>
      <w:proofErr w:type="gramStart"/>
      <w:r>
        <w:rPr>
          <w:rFonts w:ascii="Times New Roman" w:hAnsi="Times New Roman"/>
          <w:sz w:val="24"/>
          <w:szCs w:val="24"/>
          <w:lang w:val="en-US"/>
        </w:rPr>
        <w:t>reviewed</w:t>
      </w:r>
      <w:proofErr w:type="gramEnd"/>
      <w:r>
        <w:rPr>
          <w:rFonts w:ascii="Times New Roman" w:hAnsi="Times New Roman"/>
          <w:sz w:val="24"/>
          <w:szCs w:val="24"/>
          <w:lang w:val="en-US"/>
        </w:rPr>
        <w:t xml:space="preserve"> and substantiated in order to provide continuous assurance to the Governing Body that demonstrates effective governance and delivers good outcomes and services for our tenants and service users.</w:t>
      </w:r>
    </w:p>
    <w:p w14:paraId="2639BB67" w14:textId="77777777" w:rsidR="00C0376A" w:rsidRDefault="00000000">
      <w:pPr>
        <w:rPr>
          <w:rFonts w:ascii="Times New Roman" w:hAnsi="Times New Roman"/>
          <w:sz w:val="24"/>
          <w:szCs w:val="24"/>
          <w:lang w:val="en-US"/>
        </w:rPr>
      </w:pPr>
      <w:r>
        <w:rPr>
          <w:rFonts w:ascii="Times New Roman" w:hAnsi="Times New Roman"/>
          <w:sz w:val="24"/>
          <w:szCs w:val="24"/>
          <w:lang w:val="en-US"/>
        </w:rPr>
        <w:t xml:space="preserve">The Management Committee are satisfied that our assessment process was sufficient, </w:t>
      </w:r>
      <w:proofErr w:type="gramStart"/>
      <w:r>
        <w:rPr>
          <w:rFonts w:ascii="Times New Roman" w:hAnsi="Times New Roman"/>
          <w:sz w:val="24"/>
          <w:szCs w:val="24"/>
          <w:lang w:val="en-US"/>
        </w:rPr>
        <w:t>appropriate</w:t>
      </w:r>
      <w:proofErr w:type="gramEnd"/>
      <w:r>
        <w:rPr>
          <w:rFonts w:ascii="Times New Roman" w:hAnsi="Times New Roman"/>
          <w:sz w:val="24"/>
          <w:szCs w:val="24"/>
          <w:lang w:val="en-US"/>
        </w:rPr>
        <w:t xml:space="preserve"> and proportionate for our business and our context. When considering our approach to providing appropriate assurance, we used a self- assessment template, considered an internal audit report, supporting evidence and performance reports.</w:t>
      </w:r>
    </w:p>
    <w:p w14:paraId="0FD7266D" w14:textId="77777777" w:rsidR="00C0376A" w:rsidRDefault="00000000">
      <w:pPr>
        <w:rPr>
          <w:rFonts w:ascii="Times New Roman" w:hAnsi="Times New Roman"/>
          <w:sz w:val="24"/>
          <w:szCs w:val="24"/>
          <w:lang w:val="en-US"/>
        </w:rPr>
      </w:pPr>
      <w:r>
        <w:rPr>
          <w:rFonts w:ascii="Times New Roman" w:hAnsi="Times New Roman"/>
          <w:sz w:val="24"/>
          <w:szCs w:val="24"/>
          <w:lang w:val="en-US"/>
        </w:rPr>
        <w:t>We are satisfied that there are no areas of material non-compliance with:</w:t>
      </w:r>
    </w:p>
    <w:p w14:paraId="4BE9EC6D" w14:textId="77777777" w:rsidR="00C0376A" w:rsidRDefault="00000000">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Regulatory requirements set out in Chapter 3 of the Regulatory Framework</w:t>
      </w:r>
    </w:p>
    <w:p w14:paraId="682000B7" w14:textId="77777777" w:rsidR="00C0376A" w:rsidRDefault="00C0376A">
      <w:pPr>
        <w:pStyle w:val="ListParagraph"/>
        <w:rPr>
          <w:rFonts w:ascii="Times New Roman" w:hAnsi="Times New Roman"/>
          <w:sz w:val="24"/>
          <w:szCs w:val="24"/>
          <w:lang w:val="en-US"/>
        </w:rPr>
      </w:pPr>
    </w:p>
    <w:p w14:paraId="2EC854A2" w14:textId="77777777" w:rsidR="00C0376A" w:rsidRDefault="00000000">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Relevant standards and outcomes in the Scottish social Housing Charter</w:t>
      </w:r>
    </w:p>
    <w:p w14:paraId="566390C2" w14:textId="77777777" w:rsidR="00C0376A" w:rsidRDefault="00C0376A">
      <w:pPr>
        <w:pStyle w:val="ListParagraph"/>
        <w:rPr>
          <w:rFonts w:ascii="Times New Roman" w:hAnsi="Times New Roman"/>
          <w:sz w:val="24"/>
          <w:szCs w:val="24"/>
          <w:lang w:val="en-US"/>
        </w:rPr>
      </w:pPr>
    </w:p>
    <w:p w14:paraId="44B54E60" w14:textId="77777777" w:rsidR="00C0376A" w:rsidRDefault="00000000">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Relevant legislative duties.</w:t>
      </w:r>
    </w:p>
    <w:p w14:paraId="7A8C81ED" w14:textId="77777777" w:rsidR="00C0376A" w:rsidRDefault="00C0376A">
      <w:pPr>
        <w:pStyle w:val="ListParagraph"/>
        <w:rPr>
          <w:rFonts w:ascii="Times New Roman" w:hAnsi="Times New Roman"/>
          <w:sz w:val="24"/>
          <w:szCs w:val="24"/>
          <w:lang w:val="en-US"/>
        </w:rPr>
      </w:pPr>
    </w:p>
    <w:p w14:paraId="7B61651E" w14:textId="77777777" w:rsidR="00C0376A" w:rsidRDefault="00000000">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Standards of Governance and Financial Management.</w:t>
      </w:r>
    </w:p>
    <w:p w14:paraId="62713232" w14:textId="77777777" w:rsidR="00C0376A" w:rsidRDefault="00C0376A">
      <w:pPr>
        <w:pStyle w:val="ListParagraph"/>
        <w:rPr>
          <w:rFonts w:ascii="Times New Roman" w:hAnsi="Times New Roman"/>
          <w:sz w:val="24"/>
          <w:szCs w:val="24"/>
          <w:lang w:val="en-US"/>
        </w:rPr>
      </w:pPr>
    </w:p>
    <w:p w14:paraId="2B9FA393" w14:textId="77777777" w:rsidR="00C0376A" w:rsidRDefault="00000000">
      <w:pPr>
        <w:rPr>
          <w:rFonts w:ascii="Times New Roman" w:hAnsi="Times New Roman"/>
          <w:sz w:val="24"/>
          <w:szCs w:val="24"/>
          <w:lang w:val="en-US"/>
        </w:rPr>
      </w:pPr>
      <w:r>
        <w:rPr>
          <w:rFonts w:ascii="Times New Roman" w:hAnsi="Times New Roman"/>
          <w:sz w:val="24"/>
          <w:szCs w:val="24"/>
          <w:lang w:val="en-US"/>
        </w:rPr>
        <w:t xml:space="preserve">We advise that, to the best of our knowledge and understanding, that Kingsridge </w:t>
      </w:r>
      <w:proofErr w:type="spellStart"/>
      <w:r>
        <w:rPr>
          <w:rFonts w:ascii="Times New Roman" w:hAnsi="Times New Roman"/>
          <w:sz w:val="24"/>
          <w:szCs w:val="24"/>
          <w:lang w:val="en-US"/>
        </w:rPr>
        <w:t>Cleddans</w:t>
      </w:r>
      <w:proofErr w:type="spellEnd"/>
      <w:r>
        <w:rPr>
          <w:rFonts w:ascii="Times New Roman" w:hAnsi="Times New Roman"/>
          <w:sz w:val="24"/>
          <w:szCs w:val="24"/>
          <w:lang w:val="en-US"/>
        </w:rPr>
        <w:t xml:space="preserve"> Housing Association complies with the relevant regulatory standards set out in the Regulatory Framework, </w:t>
      </w:r>
      <w:proofErr w:type="gramStart"/>
      <w:r>
        <w:rPr>
          <w:rFonts w:ascii="Times New Roman" w:hAnsi="Times New Roman"/>
          <w:sz w:val="24"/>
          <w:szCs w:val="24"/>
          <w:lang w:val="en-US"/>
        </w:rPr>
        <w:t>with the exception of</w:t>
      </w:r>
      <w:proofErr w:type="gramEnd"/>
      <w:r>
        <w:rPr>
          <w:rFonts w:ascii="Times New Roman" w:hAnsi="Times New Roman"/>
          <w:sz w:val="24"/>
          <w:szCs w:val="24"/>
          <w:lang w:val="en-US"/>
        </w:rPr>
        <w:t xml:space="preserve"> management of gas safety and the reasons for this are outlined in the Covid-19 non-compliance report.</w:t>
      </w:r>
    </w:p>
    <w:p w14:paraId="2652F819" w14:textId="77777777" w:rsidR="00C0376A" w:rsidRDefault="00C0376A">
      <w:pPr>
        <w:rPr>
          <w:rFonts w:ascii="Times New Roman" w:hAnsi="Times New Roman"/>
          <w:sz w:val="24"/>
          <w:szCs w:val="24"/>
          <w:lang w:val="en-US"/>
        </w:rPr>
      </w:pPr>
    </w:p>
    <w:p w14:paraId="5804ABAD" w14:textId="77777777" w:rsidR="00C0376A" w:rsidRDefault="00C0376A">
      <w:pPr>
        <w:rPr>
          <w:rFonts w:ascii="Times New Roman" w:hAnsi="Times New Roman"/>
          <w:sz w:val="24"/>
          <w:szCs w:val="24"/>
          <w:lang w:val="en-US"/>
        </w:rPr>
      </w:pPr>
    </w:p>
    <w:p w14:paraId="463AE875" w14:textId="77777777" w:rsidR="00C0376A" w:rsidRDefault="00000000">
      <w:pPr>
        <w:rPr>
          <w:rFonts w:ascii="Times New Roman" w:hAnsi="Times New Roman"/>
          <w:b/>
          <w:bCs/>
          <w:sz w:val="24"/>
          <w:szCs w:val="24"/>
          <w:lang w:val="en-US"/>
        </w:rPr>
      </w:pPr>
      <w:r>
        <w:rPr>
          <w:rFonts w:ascii="Times New Roman" w:hAnsi="Times New Roman"/>
          <w:b/>
          <w:bCs/>
          <w:sz w:val="24"/>
          <w:szCs w:val="24"/>
          <w:lang w:val="en-US"/>
        </w:rPr>
        <w:lastRenderedPageBreak/>
        <w:t>Equalities and human rights</w:t>
      </w:r>
    </w:p>
    <w:p w14:paraId="5CF4BDD3" w14:textId="77777777" w:rsidR="00C0376A" w:rsidRDefault="00000000">
      <w:pPr>
        <w:rPr>
          <w:rFonts w:ascii="Times New Roman" w:hAnsi="Times New Roman"/>
          <w:sz w:val="24"/>
          <w:szCs w:val="24"/>
          <w:lang w:val="en-US"/>
        </w:rPr>
      </w:pPr>
      <w:r>
        <w:rPr>
          <w:rFonts w:ascii="Times New Roman" w:hAnsi="Times New Roman"/>
          <w:sz w:val="24"/>
          <w:szCs w:val="24"/>
          <w:lang w:val="en-US"/>
        </w:rPr>
        <w:t xml:space="preserve">We are also aware that we are required to provide an update on our position in relation to equalities and human rights and in response to this we have discussed and agreed an outline strategy to meet the public sector equality duty and to use data to improve policies, </w:t>
      </w:r>
      <w:proofErr w:type="gramStart"/>
      <w:r>
        <w:rPr>
          <w:rFonts w:ascii="Times New Roman" w:hAnsi="Times New Roman"/>
          <w:sz w:val="24"/>
          <w:szCs w:val="24"/>
          <w:lang w:val="en-US"/>
        </w:rPr>
        <w:t>procedures</w:t>
      </w:r>
      <w:proofErr w:type="gramEnd"/>
      <w:r>
        <w:rPr>
          <w:rFonts w:ascii="Times New Roman" w:hAnsi="Times New Roman"/>
          <w:sz w:val="24"/>
          <w:szCs w:val="24"/>
          <w:lang w:val="en-US"/>
        </w:rPr>
        <w:t xml:space="preserve"> and services. A substantial amount of work requires to be undertaken to ensure we can meet all the requirements of equalities compliance and collecting equality information. This strategy was approved by the Management Committee, and we have:</w:t>
      </w:r>
    </w:p>
    <w:p w14:paraId="34232204" w14:textId="77777777" w:rsidR="00C0376A" w:rsidRDefault="00000000">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 xml:space="preserve">Produced a draft equality monitoring form </w:t>
      </w:r>
      <w:proofErr w:type="gramStart"/>
      <w:r>
        <w:rPr>
          <w:rFonts w:ascii="Times New Roman" w:hAnsi="Times New Roman"/>
          <w:sz w:val="24"/>
          <w:szCs w:val="24"/>
          <w:lang w:val="en-US"/>
        </w:rPr>
        <w:t>in order to</w:t>
      </w:r>
      <w:proofErr w:type="gramEnd"/>
      <w:r>
        <w:rPr>
          <w:rFonts w:ascii="Times New Roman" w:hAnsi="Times New Roman"/>
          <w:sz w:val="24"/>
          <w:szCs w:val="24"/>
          <w:lang w:val="en-US"/>
        </w:rPr>
        <w:t xml:space="preserve"> meet legal and regulatory requirements.</w:t>
      </w:r>
    </w:p>
    <w:p w14:paraId="42DCCF8A" w14:textId="77777777" w:rsidR="00C0376A" w:rsidRDefault="00C0376A">
      <w:pPr>
        <w:pStyle w:val="ListParagraph"/>
        <w:rPr>
          <w:rFonts w:ascii="Times New Roman" w:hAnsi="Times New Roman"/>
          <w:sz w:val="24"/>
          <w:szCs w:val="24"/>
          <w:lang w:val="en-US"/>
        </w:rPr>
      </w:pPr>
    </w:p>
    <w:p w14:paraId="2C12C40A" w14:textId="77777777" w:rsidR="00C0376A" w:rsidRDefault="00000000">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Agreed to appoint a consultant to collate equality monitoring forms for all tenants through a combination of house visits and telephone surveys.</w:t>
      </w:r>
    </w:p>
    <w:p w14:paraId="66F7847A" w14:textId="77777777" w:rsidR="00C0376A" w:rsidRDefault="00C0376A">
      <w:pPr>
        <w:pStyle w:val="ListParagraph"/>
        <w:rPr>
          <w:rFonts w:ascii="Times New Roman" w:hAnsi="Times New Roman"/>
          <w:sz w:val="24"/>
          <w:szCs w:val="24"/>
          <w:lang w:val="en-US"/>
        </w:rPr>
      </w:pPr>
    </w:p>
    <w:p w14:paraId="40A23C26" w14:textId="77777777" w:rsidR="00C0376A" w:rsidRDefault="00000000">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We will use this information to develop an Equality strategy which complies with legislation and guidance. This will be undertaken in 2022.</w:t>
      </w:r>
    </w:p>
    <w:p w14:paraId="2AEA5300" w14:textId="77777777" w:rsidR="00C0376A" w:rsidRDefault="00C0376A">
      <w:pPr>
        <w:pStyle w:val="ListParagraph"/>
        <w:rPr>
          <w:rFonts w:ascii="Times New Roman" w:hAnsi="Times New Roman"/>
          <w:sz w:val="24"/>
          <w:szCs w:val="24"/>
          <w:lang w:val="en-US"/>
        </w:rPr>
      </w:pPr>
    </w:p>
    <w:p w14:paraId="7A7EEEA1" w14:textId="77777777" w:rsidR="00C0376A" w:rsidRDefault="00000000">
      <w:r>
        <w:rPr>
          <w:rFonts w:ascii="Times New Roman" w:hAnsi="Times New Roman"/>
          <w:sz w:val="24"/>
          <w:szCs w:val="24"/>
          <w:lang w:val="en-US"/>
        </w:rPr>
        <w:t>Our Assurance Statement was considered and approved by the Management Committee at a meeting held on 28</w:t>
      </w:r>
      <w:r>
        <w:rPr>
          <w:rFonts w:ascii="Times New Roman" w:hAnsi="Times New Roman"/>
          <w:sz w:val="24"/>
          <w:szCs w:val="24"/>
          <w:vertAlign w:val="superscript"/>
          <w:lang w:val="en-US"/>
        </w:rPr>
        <w:t>th</w:t>
      </w:r>
      <w:r>
        <w:rPr>
          <w:rFonts w:ascii="Times New Roman" w:hAnsi="Times New Roman"/>
          <w:sz w:val="24"/>
          <w:szCs w:val="24"/>
          <w:lang w:val="en-US"/>
        </w:rPr>
        <w:t xml:space="preserve"> October 2021. We will keep this statement under review and will notify the Scottish Housing Regulator and our tenants if we become aware of any areas of material non-compliance prior to issuing our next statement in October 2022.</w:t>
      </w:r>
    </w:p>
    <w:p w14:paraId="72958933" w14:textId="77777777" w:rsidR="00C0376A" w:rsidRDefault="00C0376A"/>
    <w:p w14:paraId="6DBD6D53" w14:textId="77777777" w:rsidR="00C0376A" w:rsidRDefault="00000000">
      <w:pPr>
        <w:rPr>
          <w:rFonts w:ascii="Times New Roman" w:hAnsi="Times New Roman"/>
          <w:b/>
          <w:bCs/>
          <w:sz w:val="24"/>
          <w:szCs w:val="24"/>
          <w:lang w:val="en-US"/>
        </w:rPr>
      </w:pPr>
      <w:r>
        <w:rPr>
          <w:rFonts w:ascii="Times New Roman" w:hAnsi="Times New Roman"/>
          <w:b/>
          <w:bCs/>
          <w:sz w:val="24"/>
          <w:szCs w:val="24"/>
          <w:lang w:val="en-US"/>
        </w:rPr>
        <w:t>COVID-19 NON-COMPLIANCE REPORT</w:t>
      </w:r>
    </w:p>
    <w:tbl>
      <w:tblPr>
        <w:tblW w:w="9016" w:type="dxa"/>
        <w:tblCellMar>
          <w:left w:w="10" w:type="dxa"/>
          <w:right w:w="10" w:type="dxa"/>
        </w:tblCellMar>
        <w:tblLook w:val="0000" w:firstRow="0" w:lastRow="0" w:firstColumn="0" w:lastColumn="0" w:noHBand="0" w:noVBand="0"/>
      </w:tblPr>
      <w:tblGrid>
        <w:gridCol w:w="3823"/>
        <w:gridCol w:w="5193"/>
      </w:tblGrid>
      <w:tr w:rsidR="00C0376A" w14:paraId="6B33B7BF"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F67A" w14:textId="77777777" w:rsidR="00C0376A" w:rsidRDefault="00000000">
            <w:pPr>
              <w:spacing w:after="0"/>
              <w:rPr>
                <w:rFonts w:ascii="Times New Roman" w:hAnsi="Times New Roman"/>
                <w:b/>
                <w:bCs/>
                <w:sz w:val="24"/>
                <w:szCs w:val="24"/>
                <w:lang w:val="en-US"/>
              </w:rPr>
            </w:pPr>
            <w:r>
              <w:rPr>
                <w:rFonts w:ascii="Times New Roman" w:hAnsi="Times New Roman"/>
                <w:b/>
                <w:bCs/>
                <w:sz w:val="24"/>
                <w:szCs w:val="24"/>
                <w:lang w:val="en-US"/>
              </w:rPr>
              <w:t>REGULATORY STANDARD</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75A66" w14:textId="77777777" w:rsidR="00C0376A" w:rsidRDefault="00000000">
            <w:pPr>
              <w:spacing w:after="0"/>
              <w:rPr>
                <w:rFonts w:ascii="Times New Roman" w:hAnsi="Times New Roman"/>
                <w:b/>
                <w:bCs/>
                <w:sz w:val="24"/>
                <w:szCs w:val="24"/>
                <w:lang w:val="en-US"/>
              </w:rPr>
            </w:pPr>
            <w:r>
              <w:rPr>
                <w:rFonts w:ascii="Times New Roman" w:hAnsi="Times New Roman"/>
                <w:b/>
                <w:bCs/>
                <w:sz w:val="24"/>
                <w:szCs w:val="24"/>
                <w:lang w:val="en-US"/>
              </w:rPr>
              <w:t>EXTENT OF NON- COMPLIANCE AND ACTION TAKEN.</w:t>
            </w:r>
          </w:p>
        </w:tc>
      </w:tr>
      <w:tr w:rsidR="00C0376A" w14:paraId="7CF7CF02"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CF92C" w14:textId="77777777" w:rsidR="00C0376A" w:rsidRDefault="00000000">
            <w:pPr>
              <w:spacing w:after="0"/>
              <w:rPr>
                <w:rFonts w:ascii="Times New Roman" w:hAnsi="Times New Roman"/>
                <w:b/>
                <w:bCs/>
                <w:sz w:val="24"/>
                <w:szCs w:val="24"/>
                <w:lang w:val="en-US"/>
              </w:rPr>
            </w:pPr>
            <w:r>
              <w:rPr>
                <w:rFonts w:ascii="Times New Roman" w:hAnsi="Times New Roman"/>
                <w:b/>
                <w:bCs/>
                <w:sz w:val="24"/>
                <w:szCs w:val="24"/>
                <w:lang w:val="en-US"/>
              </w:rPr>
              <w:t>Legal and Regulatory Requirements</w:t>
            </w:r>
          </w:p>
          <w:p w14:paraId="048FDE49" w14:textId="77777777" w:rsidR="00C0376A" w:rsidRDefault="00C0376A">
            <w:pPr>
              <w:spacing w:after="0"/>
              <w:rPr>
                <w:rFonts w:ascii="Times New Roman" w:hAnsi="Times New Roman"/>
                <w:b/>
                <w:bCs/>
                <w:sz w:val="24"/>
                <w:szCs w:val="24"/>
                <w:lang w:val="en-US"/>
              </w:rPr>
            </w:pPr>
          </w:p>
          <w:p w14:paraId="1E4F4D12" w14:textId="77777777" w:rsidR="00C0376A" w:rsidRDefault="00000000">
            <w:pPr>
              <w:spacing w:after="0"/>
              <w:rPr>
                <w:rFonts w:ascii="Times New Roman" w:hAnsi="Times New Roman"/>
                <w:b/>
                <w:bCs/>
                <w:sz w:val="24"/>
                <w:szCs w:val="24"/>
                <w:lang w:val="en-US"/>
              </w:rPr>
            </w:pPr>
            <w:r>
              <w:rPr>
                <w:rFonts w:ascii="Times New Roman" w:hAnsi="Times New Roman"/>
                <w:b/>
                <w:bCs/>
                <w:sz w:val="24"/>
                <w:szCs w:val="24"/>
                <w:lang w:val="en-US"/>
              </w:rPr>
              <w:t>Tenant Safety</w:t>
            </w:r>
          </w:p>
          <w:p w14:paraId="634C6801" w14:textId="77777777" w:rsidR="00C0376A" w:rsidRDefault="00C0376A">
            <w:pPr>
              <w:spacing w:after="0"/>
              <w:rPr>
                <w:rFonts w:ascii="Times New Roman" w:hAnsi="Times New Roman"/>
                <w:b/>
                <w:bCs/>
                <w:sz w:val="24"/>
                <w:szCs w:val="24"/>
                <w:lang w:val="en-US"/>
              </w:rPr>
            </w:pPr>
          </w:p>
          <w:p w14:paraId="053EDE9C" w14:textId="77777777" w:rsidR="00C0376A" w:rsidRDefault="00C0376A">
            <w:pPr>
              <w:spacing w:after="0"/>
              <w:rPr>
                <w:rFonts w:ascii="Times New Roman" w:hAnsi="Times New Roman"/>
                <w:sz w:val="24"/>
                <w:szCs w:val="24"/>
                <w:lang w:val="en-US"/>
              </w:rPr>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BDE5" w14:textId="77777777" w:rsidR="00C0376A" w:rsidRDefault="00000000">
            <w:pPr>
              <w:spacing w:after="0"/>
              <w:rPr>
                <w:rFonts w:ascii="Times New Roman" w:hAnsi="Times New Roman"/>
                <w:sz w:val="24"/>
                <w:szCs w:val="24"/>
                <w:lang w:val="en-US"/>
              </w:rPr>
            </w:pPr>
            <w:r>
              <w:rPr>
                <w:rFonts w:ascii="Times New Roman" w:hAnsi="Times New Roman"/>
                <w:sz w:val="24"/>
                <w:szCs w:val="24"/>
                <w:lang w:val="en-US"/>
              </w:rPr>
              <w:t xml:space="preserve">Gas Safety Inspections: Gas safety (Installation and use) Regulations. We carried out 15 inspections </w:t>
            </w:r>
            <w:proofErr w:type="spellStart"/>
            <w:r>
              <w:rPr>
                <w:rFonts w:ascii="Times New Roman" w:hAnsi="Times New Roman"/>
                <w:sz w:val="24"/>
                <w:szCs w:val="24"/>
                <w:lang w:val="en-US"/>
              </w:rPr>
              <w:t>outwith</w:t>
            </w:r>
            <w:proofErr w:type="spellEnd"/>
            <w:r>
              <w:rPr>
                <w:rFonts w:ascii="Times New Roman" w:hAnsi="Times New Roman"/>
                <w:sz w:val="24"/>
                <w:szCs w:val="24"/>
                <w:lang w:val="en-US"/>
              </w:rPr>
              <w:t xml:space="preserve"> the12 month period required by law. In these cases, we were unable to enter tenants’ homes due to a combination of individuals experiencing Covid symptoms, shielding, having a serious illness and being in hospital long term. The majority of these (14) occurred in Quarter 1 2020/21and these were subsequently completed. </w:t>
            </w:r>
            <w:proofErr w:type="gramStart"/>
            <w:r>
              <w:rPr>
                <w:rFonts w:ascii="Times New Roman" w:hAnsi="Times New Roman"/>
                <w:sz w:val="24"/>
                <w:szCs w:val="24"/>
                <w:lang w:val="en-US"/>
              </w:rPr>
              <w:t>Average</w:t>
            </w:r>
            <w:proofErr w:type="gramEnd"/>
            <w:r>
              <w:rPr>
                <w:rFonts w:ascii="Times New Roman" w:hAnsi="Times New Roman"/>
                <w:sz w:val="24"/>
                <w:szCs w:val="24"/>
                <w:lang w:val="en-US"/>
              </w:rPr>
              <w:t xml:space="preserve"> number of days for overdue service visits not completed on time was 8 days. Full compliance was achieved in Quarter 3 and Quarter 4 2020/21 and service visits recorded as not completed time at year end was 15. We achieved full compliance in the first 6 months of 2021/22, and we have a positive expectancy of achieving full compliance in Quarter 3/ Quarter 4.</w:t>
            </w:r>
          </w:p>
        </w:tc>
      </w:tr>
    </w:tbl>
    <w:p w14:paraId="49CD713E" w14:textId="77777777" w:rsidR="00C0376A" w:rsidRDefault="00C0376A">
      <w:pPr>
        <w:rPr>
          <w:rFonts w:ascii="Times New Roman" w:hAnsi="Times New Roman"/>
          <w:sz w:val="24"/>
          <w:szCs w:val="24"/>
          <w:lang w:val="en-US"/>
        </w:rPr>
      </w:pPr>
    </w:p>
    <w:tbl>
      <w:tblPr>
        <w:tblW w:w="9016" w:type="dxa"/>
        <w:tblCellMar>
          <w:left w:w="10" w:type="dxa"/>
          <w:right w:w="10" w:type="dxa"/>
        </w:tblCellMar>
        <w:tblLook w:val="0000" w:firstRow="0" w:lastRow="0" w:firstColumn="0" w:lastColumn="0" w:noHBand="0" w:noVBand="0"/>
      </w:tblPr>
      <w:tblGrid>
        <w:gridCol w:w="3005"/>
        <w:gridCol w:w="3005"/>
        <w:gridCol w:w="3006"/>
      </w:tblGrid>
      <w:tr w:rsidR="00C0376A" w14:paraId="03FF0B20"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E388E" w14:textId="77777777" w:rsidR="00C0376A" w:rsidRDefault="00000000">
            <w:pPr>
              <w:spacing w:after="0"/>
              <w:rPr>
                <w:rFonts w:ascii="Times New Roman" w:hAnsi="Times New Roman"/>
                <w:b/>
                <w:bCs/>
                <w:sz w:val="24"/>
                <w:szCs w:val="24"/>
                <w:lang w:val="en-US"/>
              </w:rPr>
            </w:pPr>
            <w:r>
              <w:rPr>
                <w:rFonts w:ascii="Times New Roman" w:hAnsi="Times New Roman"/>
                <w:b/>
                <w:bCs/>
                <w:sz w:val="24"/>
                <w:szCs w:val="24"/>
                <w:lang w:val="en-US"/>
              </w:rPr>
              <w:t>Signed</w:t>
            </w:r>
          </w:p>
          <w:p w14:paraId="2A4C820B" w14:textId="77777777" w:rsidR="00C0376A" w:rsidRDefault="00C0376A">
            <w:pPr>
              <w:spacing w:after="0"/>
              <w:rPr>
                <w:rFonts w:ascii="Times New Roman" w:hAnsi="Times New Roman"/>
                <w:b/>
                <w:bCs/>
                <w:sz w:val="24"/>
                <w:szCs w:val="24"/>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5AD65" w14:textId="77777777" w:rsidR="00C0376A" w:rsidRDefault="00000000">
            <w:pPr>
              <w:spacing w:after="0"/>
              <w:rPr>
                <w:rFonts w:ascii="Times New Roman" w:hAnsi="Times New Roman"/>
                <w:b/>
                <w:bCs/>
                <w:sz w:val="24"/>
                <w:szCs w:val="24"/>
                <w:lang w:val="en-US"/>
              </w:rPr>
            </w:pPr>
            <w:r>
              <w:rPr>
                <w:rFonts w:ascii="Times New Roman" w:hAnsi="Times New Roman"/>
                <w:b/>
                <w:bCs/>
                <w:sz w:val="24"/>
                <w:szCs w:val="24"/>
                <w:lang w:val="en-US"/>
              </w:rPr>
              <w:t>Chairperson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9EDE2" w14:textId="77777777" w:rsidR="00C0376A" w:rsidRDefault="00000000">
            <w:pPr>
              <w:spacing w:after="0"/>
              <w:rPr>
                <w:rFonts w:ascii="Times New Roman" w:hAnsi="Times New Roman"/>
                <w:b/>
                <w:bCs/>
                <w:sz w:val="24"/>
                <w:szCs w:val="24"/>
                <w:lang w:val="en-US"/>
              </w:rPr>
            </w:pPr>
            <w:r>
              <w:rPr>
                <w:rFonts w:ascii="Times New Roman" w:hAnsi="Times New Roman"/>
                <w:b/>
                <w:bCs/>
                <w:sz w:val="24"/>
                <w:szCs w:val="24"/>
                <w:lang w:val="en-US"/>
              </w:rPr>
              <w:t>Date</w:t>
            </w:r>
          </w:p>
          <w:p w14:paraId="14A7CA0D" w14:textId="77777777" w:rsidR="00C0376A" w:rsidRDefault="00000000">
            <w:pPr>
              <w:spacing w:after="0"/>
            </w:pPr>
            <w:r>
              <w:rPr>
                <w:rFonts w:ascii="Times New Roman" w:hAnsi="Times New Roman"/>
                <w:b/>
                <w:bCs/>
                <w:sz w:val="24"/>
                <w:szCs w:val="24"/>
                <w:lang w:val="en-US"/>
              </w:rPr>
              <w:t>28</w:t>
            </w:r>
            <w:r>
              <w:rPr>
                <w:rFonts w:ascii="Times New Roman" w:hAnsi="Times New Roman"/>
                <w:b/>
                <w:bCs/>
                <w:sz w:val="24"/>
                <w:szCs w:val="24"/>
                <w:vertAlign w:val="superscript"/>
                <w:lang w:val="en-US"/>
              </w:rPr>
              <w:t>th</w:t>
            </w:r>
            <w:r>
              <w:rPr>
                <w:rFonts w:ascii="Times New Roman" w:hAnsi="Times New Roman"/>
                <w:b/>
                <w:bCs/>
                <w:sz w:val="24"/>
                <w:szCs w:val="24"/>
                <w:lang w:val="en-US"/>
              </w:rPr>
              <w:t xml:space="preserve"> October 2021</w:t>
            </w:r>
          </w:p>
        </w:tc>
      </w:tr>
    </w:tbl>
    <w:p w14:paraId="6A5A7927" w14:textId="77777777" w:rsidR="00C0376A" w:rsidRDefault="00C0376A"/>
    <w:sectPr w:rsidR="00C0376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43547" w14:textId="77777777" w:rsidR="00B51603" w:rsidRDefault="00B51603">
      <w:pPr>
        <w:spacing w:after="0"/>
      </w:pPr>
      <w:r>
        <w:separator/>
      </w:r>
    </w:p>
  </w:endnote>
  <w:endnote w:type="continuationSeparator" w:id="0">
    <w:p w14:paraId="783976A2" w14:textId="77777777" w:rsidR="00B51603" w:rsidRDefault="00B516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88E57" w14:textId="77777777" w:rsidR="00B51603" w:rsidRDefault="00B51603">
      <w:pPr>
        <w:spacing w:after="0"/>
      </w:pPr>
      <w:r>
        <w:rPr>
          <w:color w:val="000000"/>
        </w:rPr>
        <w:separator/>
      </w:r>
    </w:p>
  </w:footnote>
  <w:footnote w:type="continuationSeparator" w:id="0">
    <w:p w14:paraId="281AE872" w14:textId="77777777" w:rsidR="00B51603" w:rsidRDefault="00B516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A56C1"/>
    <w:multiLevelType w:val="multilevel"/>
    <w:tmpl w:val="FC3670A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6827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0376A"/>
    <w:rsid w:val="003945FA"/>
    <w:rsid w:val="00B51603"/>
    <w:rsid w:val="00C0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E3DB"/>
  <w15:docId w15:val="{1C2034E6-4FF1-444D-815D-80F61573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License1</dc:creator>
  <dc:description/>
  <cp:lastModifiedBy>Alan Neary</cp:lastModifiedBy>
  <cp:revision>2</cp:revision>
  <cp:lastPrinted>2021-10-28T14:26:00Z</cp:lastPrinted>
  <dcterms:created xsi:type="dcterms:W3CDTF">2024-04-02T18:42:00Z</dcterms:created>
  <dcterms:modified xsi:type="dcterms:W3CDTF">2024-04-02T18:42:00Z</dcterms:modified>
</cp:coreProperties>
</file>