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2E8EBD" w14:textId="77777777" w:rsidR="00A61295" w:rsidRDefault="00A61295" w:rsidP="00A61295">
      <w:pPr>
        <w:rPr>
          <w:rFonts w:ascii="Verdana" w:hAnsi="Verdana"/>
          <w:b/>
          <w:sz w:val="32"/>
        </w:rPr>
      </w:pPr>
    </w:p>
    <w:p w14:paraId="6026C293" w14:textId="77777777" w:rsidR="00A61295" w:rsidRDefault="00A61295" w:rsidP="00A61295">
      <w:pPr>
        <w:rPr>
          <w:rFonts w:ascii="Verdana" w:hAnsi="Verdana"/>
          <w:b/>
          <w:sz w:val="32"/>
        </w:rPr>
      </w:pPr>
    </w:p>
    <w:p w14:paraId="4A036582" w14:textId="77777777" w:rsidR="00A61295" w:rsidRDefault="00A61295" w:rsidP="00A61295">
      <w:pPr>
        <w:rPr>
          <w:rFonts w:ascii="Verdana" w:hAnsi="Verdana"/>
          <w:b/>
          <w:sz w:val="32"/>
        </w:rPr>
      </w:pPr>
    </w:p>
    <w:p w14:paraId="7F59F979" w14:textId="78C01712" w:rsidR="00A61295" w:rsidRDefault="00F90125" w:rsidP="00A61295">
      <w:pPr>
        <w:rPr>
          <w:rFonts w:ascii="Verdana" w:hAnsi="Verdana"/>
          <w:b/>
          <w:sz w:val="32"/>
        </w:rPr>
      </w:pPr>
      <w:r w:rsidRPr="003B537F">
        <w:rPr>
          <w:b/>
          <w:sz w:val="32"/>
          <w:szCs w:val="32"/>
        </w:rPr>
        <w:fldChar w:fldCharType="begin"/>
      </w:r>
      <w:r w:rsidRPr="003B537F">
        <w:rPr>
          <w:b/>
          <w:sz w:val="32"/>
          <w:szCs w:val="32"/>
        </w:rPr>
        <w:instrText xml:space="preserve"> INCLUDEPICTURE "C:\\Users\\Daniel\\Desktop\\Logo.jpg" \* MERGEFORMATINET </w:instrText>
      </w:r>
      <w:r w:rsidRPr="003B537F">
        <w:rPr>
          <w:b/>
          <w:sz w:val="32"/>
          <w:szCs w:val="32"/>
        </w:rPr>
        <w:fldChar w:fldCharType="separate"/>
      </w:r>
      <w:r w:rsidR="00D00405">
        <w:rPr>
          <w:b/>
          <w:sz w:val="32"/>
          <w:szCs w:val="32"/>
        </w:rPr>
        <w:fldChar w:fldCharType="begin"/>
      </w:r>
      <w:r w:rsidR="00D00405">
        <w:rPr>
          <w:b/>
          <w:sz w:val="32"/>
          <w:szCs w:val="32"/>
        </w:rPr>
        <w:instrText xml:space="preserve"> INCLUDEPICTURE  "C:\\Users\\Daniel\\Desktop\\Logo.jpg" \* MERGEFORMATINET </w:instrText>
      </w:r>
      <w:r w:rsidR="00D00405">
        <w:rPr>
          <w:b/>
          <w:sz w:val="32"/>
          <w:szCs w:val="32"/>
        </w:rPr>
        <w:fldChar w:fldCharType="separate"/>
      </w:r>
      <w:r w:rsidR="00275E54">
        <w:rPr>
          <w:b/>
          <w:sz w:val="32"/>
          <w:szCs w:val="32"/>
        </w:rPr>
        <w:fldChar w:fldCharType="begin"/>
      </w:r>
      <w:r w:rsidR="00275E54">
        <w:rPr>
          <w:b/>
          <w:sz w:val="32"/>
          <w:szCs w:val="32"/>
        </w:rPr>
        <w:instrText xml:space="preserve"> INCLUDEPICTURE  "C:\\Users\\Daniel\\Desktop\\Logo.jpg" \* MERGEFORMATINET </w:instrText>
      </w:r>
      <w:r w:rsidR="00275E54">
        <w:rPr>
          <w:b/>
          <w:sz w:val="32"/>
          <w:szCs w:val="32"/>
        </w:rPr>
        <w:fldChar w:fldCharType="separate"/>
      </w:r>
      <w:r w:rsidR="00425783">
        <w:rPr>
          <w:b/>
          <w:sz w:val="32"/>
          <w:szCs w:val="32"/>
        </w:rPr>
        <w:fldChar w:fldCharType="begin"/>
      </w:r>
      <w:r w:rsidR="00425783">
        <w:rPr>
          <w:b/>
          <w:sz w:val="32"/>
          <w:szCs w:val="32"/>
        </w:rPr>
        <w:instrText xml:space="preserve"> </w:instrText>
      </w:r>
      <w:r w:rsidR="00425783">
        <w:rPr>
          <w:b/>
          <w:sz w:val="32"/>
          <w:szCs w:val="32"/>
        </w:rPr>
        <w:instrText>INCLUDEPICTURE  "C:\\Users\\Daniel\\Desktop\\Logo.jpg" \* MERGEFORMATINET</w:instrText>
      </w:r>
      <w:r w:rsidR="00425783">
        <w:rPr>
          <w:b/>
          <w:sz w:val="32"/>
          <w:szCs w:val="32"/>
        </w:rPr>
        <w:instrText xml:space="preserve"> </w:instrText>
      </w:r>
      <w:r w:rsidR="00425783">
        <w:rPr>
          <w:b/>
          <w:sz w:val="32"/>
          <w:szCs w:val="32"/>
        </w:rPr>
        <w:fldChar w:fldCharType="separate"/>
      </w:r>
      <w:r w:rsidR="004230FD">
        <w:rPr>
          <w:b/>
          <w:sz w:val="32"/>
          <w:szCs w:val="32"/>
        </w:rPr>
        <w:pict w14:anchorId="53EAFB8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4.75pt;height:252.75pt">
            <v:imagedata r:id="rId8" r:href="rId9"/>
          </v:shape>
        </w:pict>
      </w:r>
      <w:r w:rsidR="00425783">
        <w:rPr>
          <w:b/>
          <w:sz w:val="32"/>
          <w:szCs w:val="32"/>
        </w:rPr>
        <w:fldChar w:fldCharType="end"/>
      </w:r>
      <w:r w:rsidR="00275E54">
        <w:rPr>
          <w:b/>
          <w:sz w:val="32"/>
          <w:szCs w:val="32"/>
        </w:rPr>
        <w:fldChar w:fldCharType="end"/>
      </w:r>
      <w:r w:rsidR="00D00405">
        <w:rPr>
          <w:b/>
          <w:sz w:val="32"/>
          <w:szCs w:val="32"/>
        </w:rPr>
        <w:fldChar w:fldCharType="end"/>
      </w:r>
      <w:r w:rsidRPr="003B537F">
        <w:rPr>
          <w:b/>
          <w:sz w:val="32"/>
          <w:szCs w:val="32"/>
        </w:rPr>
        <w:fldChar w:fldCharType="end"/>
      </w:r>
    </w:p>
    <w:p w14:paraId="2434F689" w14:textId="77777777" w:rsidR="00A61295" w:rsidRDefault="00A61295" w:rsidP="00A61295">
      <w:pPr>
        <w:rPr>
          <w:rFonts w:ascii="Verdana" w:hAnsi="Verdana"/>
          <w:b/>
          <w:sz w:val="32"/>
        </w:rPr>
      </w:pPr>
    </w:p>
    <w:tbl>
      <w:tblPr>
        <w:tblW w:w="91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89"/>
        <w:gridCol w:w="5175"/>
      </w:tblGrid>
      <w:tr w:rsidR="00F90125" w:rsidRPr="00F90125" w14:paraId="13F9AF3D" w14:textId="77777777" w:rsidTr="0037030D">
        <w:trPr>
          <w:trHeight w:val="1181"/>
          <w:jc w:val="center"/>
        </w:trPr>
        <w:tc>
          <w:tcPr>
            <w:tcW w:w="3989" w:type="dxa"/>
          </w:tcPr>
          <w:p w14:paraId="0E43FABD" w14:textId="77777777" w:rsidR="00F90125" w:rsidRPr="00F90125" w:rsidRDefault="00F90125" w:rsidP="00F90125">
            <w:pPr>
              <w:rPr>
                <w:b/>
                <w:sz w:val="32"/>
              </w:rPr>
            </w:pPr>
          </w:p>
          <w:p w14:paraId="60F6E506" w14:textId="77777777" w:rsidR="00F90125" w:rsidRPr="00F90125" w:rsidRDefault="00F90125" w:rsidP="00F90125">
            <w:pPr>
              <w:rPr>
                <w:b/>
                <w:sz w:val="32"/>
              </w:rPr>
            </w:pPr>
            <w:r w:rsidRPr="00F90125">
              <w:rPr>
                <w:b/>
                <w:sz w:val="32"/>
              </w:rPr>
              <w:t>Name of Policy</w:t>
            </w:r>
          </w:p>
        </w:tc>
        <w:tc>
          <w:tcPr>
            <w:tcW w:w="5175" w:type="dxa"/>
          </w:tcPr>
          <w:p w14:paraId="7ABCF224" w14:textId="77777777" w:rsidR="00F90125" w:rsidRPr="00F90125" w:rsidRDefault="00F90125" w:rsidP="00F90125">
            <w:pPr>
              <w:rPr>
                <w:b/>
                <w:sz w:val="32"/>
              </w:rPr>
            </w:pPr>
          </w:p>
          <w:p w14:paraId="3DA23C8D" w14:textId="1BF58B37" w:rsidR="00F90125" w:rsidRPr="00F90125" w:rsidRDefault="00F90125" w:rsidP="00F90125">
            <w:pPr>
              <w:rPr>
                <w:b/>
                <w:sz w:val="32"/>
              </w:rPr>
            </w:pPr>
            <w:r w:rsidRPr="00F90125">
              <w:rPr>
                <w:b/>
                <w:bCs/>
                <w:sz w:val="32"/>
              </w:rPr>
              <w:t>Rent Setting</w:t>
            </w:r>
          </w:p>
        </w:tc>
      </w:tr>
      <w:tr w:rsidR="00F90125" w:rsidRPr="00F90125" w14:paraId="25E84C76" w14:textId="77777777" w:rsidTr="0037030D">
        <w:trPr>
          <w:trHeight w:val="1080"/>
          <w:jc w:val="center"/>
        </w:trPr>
        <w:tc>
          <w:tcPr>
            <w:tcW w:w="3989" w:type="dxa"/>
          </w:tcPr>
          <w:p w14:paraId="6CC46B9C" w14:textId="77777777" w:rsidR="00F90125" w:rsidRPr="00F90125" w:rsidRDefault="00F90125" w:rsidP="00F90125">
            <w:pPr>
              <w:rPr>
                <w:b/>
                <w:sz w:val="32"/>
              </w:rPr>
            </w:pPr>
          </w:p>
          <w:p w14:paraId="46611F35" w14:textId="77777777" w:rsidR="00F90125" w:rsidRPr="00F90125" w:rsidRDefault="00F90125" w:rsidP="00F90125">
            <w:pPr>
              <w:rPr>
                <w:b/>
                <w:sz w:val="32"/>
              </w:rPr>
            </w:pPr>
            <w:r w:rsidRPr="00F90125">
              <w:rPr>
                <w:b/>
                <w:sz w:val="32"/>
              </w:rPr>
              <w:t>Responsible Officer</w:t>
            </w:r>
          </w:p>
        </w:tc>
        <w:tc>
          <w:tcPr>
            <w:tcW w:w="5175" w:type="dxa"/>
          </w:tcPr>
          <w:p w14:paraId="16F6FE83" w14:textId="77777777" w:rsidR="00F90125" w:rsidRPr="00F90125" w:rsidRDefault="00F90125" w:rsidP="00F90125">
            <w:pPr>
              <w:rPr>
                <w:b/>
                <w:sz w:val="32"/>
              </w:rPr>
            </w:pPr>
          </w:p>
          <w:p w14:paraId="1C8E9B4B" w14:textId="77777777" w:rsidR="00F90125" w:rsidRPr="00F90125" w:rsidRDefault="00F90125" w:rsidP="00F90125">
            <w:pPr>
              <w:rPr>
                <w:b/>
                <w:sz w:val="32"/>
              </w:rPr>
            </w:pPr>
            <w:r w:rsidRPr="00F90125">
              <w:rPr>
                <w:b/>
                <w:bCs/>
                <w:sz w:val="32"/>
              </w:rPr>
              <w:t>Director</w:t>
            </w:r>
          </w:p>
        </w:tc>
      </w:tr>
      <w:tr w:rsidR="00F90125" w:rsidRPr="00F90125" w14:paraId="60D6FD1C" w14:textId="77777777" w:rsidTr="0037030D">
        <w:trPr>
          <w:trHeight w:val="1420"/>
          <w:jc w:val="center"/>
        </w:trPr>
        <w:tc>
          <w:tcPr>
            <w:tcW w:w="3989" w:type="dxa"/>
          </w:tcPr>
          <w:p w14:paraId="5BCA17E4" w14:textId="77777777" w:rsidR="00F90125" w:rsidRPr="00F90125" w:rsidRDefault="00F90125" w:rsidP="00F90125">
            <w:pPr>
              <w:rPr>
                <w:b/>
                <w:sz w:val="32"/>
              </w:rPr>
            </w:pPr>
          </w:p>
          <w:p w14:paraId="73037B8A" w14:textId="77777777" w:rsidR="00F90125" w:rsidRPr="00F90125" w:rsidRDefault="00F90125" w:rsidP="00F90125">
            <w:pPr>
              <w:rPr>
                <w:b/>
                <w:sz w:val="32"/>
              </w:rPr>
            </w:pPr>
            <w:r w:rsidRPr="00F90125">
              <w:rPr>
                <w:b/>
                <w:sz w:val="32"/>
              </w:rPr>
              <w:t>Date approved by Board</w:t>
            </w:r>
          </w:p>
        </w:tc>
        <w:tc>
          <w:tcPr>
            <w:tcW w:w="5175" w:type="dxa"/>
          </w:tcPr>
          <w:p w14:paraId="67A744AE" w14:textId="77777777" w:rsidR="00F90125" w:rsidRPr="00F90125" w:rsidRDefault="00F90125" w:rsidP="00F90125">
            <w:pPr>
              <w:rPr>
                <w:b/>
                <w:sz w:val="32"/>
              </w:rPr>
            </w:pPr>
          </w:p>
          <w:p w14:paraId="1702C89D" w14:textId="3EBFBABE" w:rsidR="00F90125" w:rsidRPr="00F90125" w:rsidRDefault="00F90125" w:rsidP="00F90125">
            <w:pPr>
              <w:rPr>
                <w:b/>
                <w:sz w:val="32"/>
              </w:rPr>
            </w:pPr>
            <w:r w:rsidRPr="00F90125">
              <w:rPr>
                <w:b/>
                <w:bCs/>
                <w:sz w:val="32"/>
              </w:rPr>
              <w:t>2</w:t>
            </w:r>
            <w:r w:rsidR="0037030D">
              <w:rPr>
                <w:b/>
                <w:bCs/>
                <w:sz w:val="32"/>
              </w:rPr>
              <w:t>4</w:t>
            </w:r>
            <w:r w:rsidRPr="00F90125">
              <w:rPr>
                <w:b/>
                <w:bCs/>
                <w:sz w:val="32"/>
              </w:rPr>
              <w:t xml:space="preserve"> February 2023</w:t>
            </w:r>
          </w:p>
        </w:tc>
      </w:tr>
      <w:tr w:rsidR="00F90125" w:rsidRPr="00F90125" w14:paraId="707F83F0" w14:textId="77777777" w:rsidTr="0037030D">
        <w:trPr>
          <w:trHeight w:val="1190"/>
          <w:jc w:val="center"/>
        </w:trPr>
        <w:tc>
          <w:tcPr>
            <w:tcW w:w="3989" w:type="dxa"/>
          </w:tcPr>
          <w:p w14:paraId="32B8FF5A" w14:textId="77777777" w:rsidR="00F90125" w:rsidRPr="00F90125" w:rsidRDefault="00F90125" w:rsidP="00F90125">
            <w:pPr>
              <w:rPr>
                <w:b/>
                <w:sz w:val="32"/>
              </w:rPr>
            </w:pPr>
          </w:p>
          <w:p w14:paraId="7E28F3E9" w14:textId="77777777" w:rsidR="00F90125" w:rsidRPr="00F90125" w:rsidRDefault="00F90125" w:rsidP="00F90125">
            <w:pPr>
              <w:rPr>
                <w:b/>
                <w:sz w:val="32"/>
              </w:rPr>
            </w:pPr>
            <w:r w:rsidRPr="00F90125">
              <w:rPr>
                <w:b/>
                <w:sz w:val="32"/>
              </w:rPr>
              <w:t>Date of next Review</w:t>
            </w:r>
          </w:p>
        </w:tc>
        <w:tc>
          <w:tcPr>
            <w:tcW w:w="5175" w:type="dxa"/>
          </w:tcPr>
          <w:p w14:paraId="04223825" w14:textId="77777777" w:rsidR="00F90125" w:rsidRPr="00F90125" w:rsidRDefault="00F90125" w:rsidP="00F90125">
            <w:pPr>
              <w:rPr>
                <w:b/>
                <w:sz w:val="32"/>
              </w:rPr>
            </w:pPr>
          </w:p>
          <w:p w14:paraId="2FD098B7" w14:textId="7595D90A" w:rsidR="00F90125" w:rsidRPr="00F90125" w:rsidRDefault="00F90125" w:rsidP="00F90125">
            <w:pPr>
              <w:rPr>
                <w:b/>
                <w:sz w:val="32"/>
              </w:rPr>
            </w:pPr>
            <w:r w:rsidRPr="00F90125">
              <w:rPr>
                <w:b/>
                <w:sz w:val="32"/>
              </w:rPr>
              <w:t>February 2026</w:t>
            </w:r>
          </w:p>
        </w:tc>
      </w:tr>
      <w:tr w:rsidR="00F90125" w:rsidRPr="00F90125" w14:paraId="0B26091C" w14:textId="77777777" w:rsidTr="0037030D">
        <w:trPr>
          <w:trHeight w:val="829"/>
          <w:jc w:val="center"/>
        </w:trPr>
        <w:tc>
          <w:tcPr>
            <w:tcW w:w="3989" w:type="dxa"/>
          </w:tcPr>
          <w:p w14:paraId="66F577C2" w14:textId="77777777" w:rsidR="00F90125" w:rsidRPr="00F90125" w:rsidRDefault="00F90125" w:rsidP="00F90125">
            <w:pPr>
              <w:rPr>
                <w:b/>
                <w:sz w:val="32"/>
              </w:rPr>
            </w:pPr>
          </w:p>
          <w:p w14:paraId="72004B21" w14:textId="77777777" w:rsidR="00F90125" w:rsidRPr="00F90125" w:rsidRDefault="00F90125" w:rsidP="00F90125">
            <w:pPr>
              <w:rPr>
                <w:b/>
                <w:sz w:val="32"/>
              </w:rPr>
            </w:pPr>
            <w:r w:rsidRPr="00F90125">
              <w:rPr>
                <w:b/>
                <w:sz w:val="32"/>
              </w:rPr>
              <w:t>Section</w:t>
            </w:r>
          </w:p>
        </w:tc>
        <w:tc>
          <w:tcPr>
            <w:tcW w:w="5175" w:type="dxa"/>
          </w:tcPr>
          <w:p w14:paraId="104F2248" w14:textId="77777777" w:rsidR="00F90125" w:rsidRPr="00F90125" w:rsidRDefault="00F90125" w:rsidP="00F90125">
            <w:pPr>
              <w:rPr>
                <w:b/>
                <w:sz w:val="32"/>
              </w:rPr>
            </w:pPr>
          </w:p>
          <w:p w14:paraId="46E2F035" w14:textId="77777777" w:rsidR="00F90125" w:rsidRPr="00F90125" w:rsidRDefault="00F90125" w:rsidP="00F90125">
            <w:pPr>
              <w:rPr>
                <w:b/>
                <w:sz w:val="32"/>
              </w:rPr>
            </w:pPr>
            <w:r w:rsidRPr="00F90125">
              <w:rPr>
                <w:b/>
                <w:bCs/>
                <w:sz w:val="32"/>
              </w:rPr>
              <w:t>Corporate Services</w:t>
            </w:r>
          </w:p>
        </w:tc>
      </w:tr>
    </w:tbl>
    <w:p w14:paraId="1EE29F64" w14:textId="77777777" w:rsidR="00A61295" w:rsidRDefault="00A61295" w:rsidP="00A61295">
      <w:pPr>
        <w:rPr>
          <w:rFonts w:ascii="Verdana" w:hAnsi="Verdana"/>
          <w:b/>
          <w:sz w:val="32"/>
        </w:rPr>
      </w:pPr>
    </w:p>
    <w:p w14:paraId="77098CF3" w14:textId="77777777" w:rsidR="00A61295" w:rsidRDefault="00A61295" w:rsidP="00A61295">
      <w:pPr>
        <w:rPr>
          <w:rFonts w:ascii="Verdana" w:hAnsi="Verdana"/>
          <w:b/>
          <w:sz w:val="32"/>
        </w:rPr>
      </w:pPr>
    </w:p>
    <w:p w14:paraId="44714D60" w14:textId="77777777" w:rsidR="00A61295" w:rsidRDefault="00A61295" w:rsidP="00A61295">
      <w:pPr>
        <w:rPr>
          <w:rFonts w:ascii="Verdana" w:hAnsi="Verdana"/>
          <w:b/>
          <w:sz w:val="32"/>
        </w:rPr>
      </w:pPr>
    </w:p>
    <w:p w14:paraId="49B22288" w14:textId="77777777" w:rsidR="00A61295" w:rsidRDefault="00A61295" w:rsidP="00A61295">
      <w:pPr>
        <w:rPr>
          <w:rFonts w:ascii="Verdana" w:hAnsi="Verdana"/>
          <w:b/>
          <w:sz w:val="32"/>
        </w:rPr>
      </w:pPr>
    </w:p>
    <w:p w14:paraId="51E3A042" w14:textId="77777777" w:rsidR="00A61295" w:rsidRDefault="00A61295" w:rsidP="00A61295">
      <w:pPr>
        <w:rPr>
          <w:rFonts w:ascii="Verdana" w:hAnsi="Verdana"/>
          <w:b/>
          <w:sz w:val="32"/>
        </w:rPr>
      </w:pPr>
    </w:p>
    <w:p w14:paraId="2487F08D" w14:textId="77777777" w:rsidR="00A61295" w:rsidRDefault="00A61295" w:rsidP="00A61295">
      <w:pPr>
        <w:rPr>
          <w:rFonts w:ascii="Verdana" w:hAnsi="Verdana"/>
          <w:b/>
          <w:sz w:val="32"/>
        </w:rPr>
      </w:pPr>
    </w:p>
    <w:p w14:paraId="04562812" w14:textId="77777777" w:rsidR="00D00405" w:rsidRDefault="00D00405" w:rsidP="00D00405">
      <w:pPr>
        <w:rPr>
          <w:rFonts w:ascii="Verdana" w:hAnsi="Verdana"/>
          <w:b/>
          <w:sz w:val="32"/>
        </w:rPr>
      </w:pPr>
    </w:p>
    <w:p w14:paraId="784BF7AD" w14:textId="77777777" w:rsidR="00D00405" w:rsidRPr="00F90125" w:rsidRDefault="00D00405" w:rsidP="00D00405">
      <w:pPr>
        <w:widowControl w:val="0"/>
        <w:spacing w:line="259" w:lineRule="auto"/>
        <w:rPr>
          <w:rFonts w:eastAsia="Calibri"/>
          <w:b/>
        </w:rPr>
      </w:pPr>
      <w:r w:rsidRPr="00F90125">
        <w:rPr>
          <w:rFonts w:eastAsia="Calibri"/>
          <w:b/>
        </w:rPr>
        <w:t>Contents.</w:t>
      </w:r>
    </w:p>
    <w:p w14:paraId="1569B072" w14:textId="77777777" w:rsidR="00D00405" w:rsidRPr="00F90125" w:rsidRDefault="00D00405" w:rsidP="00D00405">
      <w:pPr>
        <w:widowControl w:val="0"/>
        <w:spacing w:line="259" w:lineRule="auto"/>
        <w:rPr>
          <w:rFonts w:eastAsia="Calibri"/>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3"/>
        <w:gridCol w:w="6850"/>
        <w:gridCol w:w="1086"/>
      </w:tblGrid>
      <w:tr w:rsidR="00D00405" w:rsidRPr="00F90125" w14:paraId="47FE45D7" w14:textId="77777777" w:rsidTr="00CF4ECB">
        <w:tc>
          <w:tcPr>
            <w:tcW w:w="1083" w:type="dxa"/>
          </w:tcPr>
          <w:p w14:paraId="12A2BDFD" w14:textId="77777777" w:rsidR="00D00405" w:rsidRPr="00F90125" w:rsidRDefault="00D00405" w:rsidP="00CF4ECB">
            <w:pPr>
              <w:widowControl w:val="0"/>
              <w:spacing w:line="259" w:lineRule="auto"/>
              <w:rPr>
                <w:rFonts w:eastAsia="Calibri"/>
              </w:rPr>
            </w:pPr>
            <w:r w:rsidRPr="00F90125">
              <w:rPr>
                <w:rFonts w:eastAsia="Calibri"/>
              </w:rPr>
              <w:t xml:space="preserve">Section </w:t>
            </w:r>
          </w:p>
        </w:tc>
        <w:tc>
          <w:tcPr>
            <w:tcW w:w="6850" w:type="dxa"/>
          </w:tcPr>
          <w:p w14:paraId="085F4BB6" w14:textId="77777777" w:rsidR="00D00405" w:rsidRPr="00F90125" w:rsidRDefault="00D00405" w:rsidP="00CF4ECB">
            <w:pPr>
              <w:widowControl w:val="0"/>
              <w:spacing w:line="259" w:lineRule="auto"/>
              <w:rPr>
                <w:rFonts w:eastAsia="Calibri"/>
              </w:rPr>
            </w:pPr>
          </w:p>
        </w:tc>
        <w:tc>
          <w:tcPr>
            <w:tcW w:w="1086" w:type="dxa"/>
          </w:tcPr>
          <w:p w14:paraId="4AE82C74" w14:textId="77777777" w:rsidR="00D00405" w:rsidRPr="00F90125" w:rsidRDefault="00D00405" w:rsidP="00CF4ECB">
            <w:pPr>
              <w:widowControl w:val="0"/>
              <w:spacing w:line="259" w:lineRule="auto"/>
              <w:rPr>
                <w:rFonts w:eastAsia="Calibri"/>
              </w:rPr>
            </w:pPr>
            <w:r w:rsidRPr="00F90125">
              <w:rPr>
                <w:rFonts w:eastAsia="Calibri"/>
              </w:rPr>
              <w:t xml:space="preserve">Page </w:t>
            </w:r>
          </w:p>
        </w:tc>
      </w:tr>
      <w:tr w:rsidR="00D00405" w:rsidRPr="00F90125" w14:paraId="7E81AE57" w14:textId="77777777" w:rsidTr="00CF4ECB">
        <w:tc>
          <w:tcPr>
            <w:tcW w:w="1083" w:type="dxa"/>
          </w:tcPr>
          <w:p w14:paraId="00CA31EF" w14:textId="77777777" w:rsidR="00D00405" w:rsidRPr="00F90125" w:rsidRDefault="00D00405" w:rsidP="00CF4ECB">
            <w:pPr>
              <w:widowControl w:val="0"/>
              <w:spacing w:line="259" w:lineRule="auto"/>
              <w:rPr>
                <w:rFonts w:eastAsia="Calibri"/>
              </w:rPr>
            </w:pPr>
            <w:r w:rsidRPr="00F90125">
              <w:rPr>
                <w:rFonts w:eastAsia="Calibri"/>
              </w:rPr>
              <w:t>1.</w:t>
            </w:r>
          </w:p>
        </w:tc>
        <w:tc>
          <w:tcPr>
            <w:tcW w:w="6850" w:type="dxa"/>
          </w:tcPr>
          <w:p w14:paraId="67EA55B8" w14:textId="77777777" w:rsidR="00D00405" w:rsidRPr="00F90125" w:rsidRDefault="00D00405" w:rsidP="00CF4ECB">
            <w:pPr>
              <w:widowControl w:val="0"/>
              <w:spacing w:line="259" w:lineRule="auto"/>
              <w:rPr>
                <w:rFonts w:eastAsia="Calibri"/>
              </w:rPr>
            </w:pPr>
            <w:r>
              <w:rPr>
                <w:rFonts w:eastAsia="Calibri"/>
              </w:rPr>
              <w:t>Introduction</w:t>
            </w:r>
          </w:p>
        </w:tc>
        <w:tc>
          <w:tcPr>
            <w:tcW w:w="1086" w:type="dxa"/>
          </w:tcPr>
          <w:p w14:paraId="23E76104" w14:textId="77777777" w:rsidR="00D00405" w:rsidRPr="00F90125" w:rsidRDefault="00D00405" w:rsidP="00CF4ECB">
            <w:pPr>
              <w:widowControl w:val="0"/>
              <w:spacing w:line="259" w:lineRule="auto"/>
              <w:rPr>
                <w:rFonts w:eastAsia="Calibri"/>
              </w:rPr>
            </w:pPr>
            <w:r>
              <w:rPr>
                <w:rFonts w:eastAsia="Calibri"/>
              </w:rPr>
              <w:t>3</w:t>
            </w:r>
          </w:p>
        </w:tc>
      </w:tr>
      <w:tr w:rsidR="00D00405" w:rsidRPr="00F90125" w14:paraId="20AD8956" w14:textId="77777777" w:rsidTr="00CF4ECB">
        <w:tc>
          <w:tcPr>
            <w:tcW w:w="1083" w:type="dxa"/>
          </w:tcPr>
          <w:p w14:paraId="500A4248" w14:textId="77777777" w:rsidR="00D00405" w:rsidRPr="00F90125" w:rsidRDefault="00D00405" w:rsidP="00CF4ECB">
            <w:pPr>
              <w:widowControl w:val="0"/>
              <w:spacing w:line="259" w:lineRule="auto"/>
              <w:rPr>
                <w:rFonts w:eastAsia="Calibri"/>
              </w:rPr>
            </w:pPr>
            <w:r w:rsidRPr="00F90125">
              <w:rPr>
                <w:rFonts w:eastAsia="Calibri"/>
              </w:rPr>
              <w:t>2.</w:t>
            </w:r>
          </w:p>
        </w:tc>
        <w:tc>
          <w:tcPr>
            <w:tcW w:w="6850" w:type="dxa"/>
          </w:tcPr>
          <w:p w14:paraId="349D959B" w14:textId="77777777" w:rsidR="00D00405" w:rsidRPr="00F90125" w:rsidRDefault="00D00405" w:rsidP="00CF4ECB">
            <w:pPr>
              <w:widowControl w:val="0"/>
              <w:tabs>
                <w:tab w:val="left" w:pos="851"/>
              </w:tabs>
              <w:kinsoku w:val="0"/>
              <w:overflowPunct w:val="0"/>
              <w:autoSpaceDE w:val="0"/>
              <w:autoSpaceDN w:val="0"/>
              <w:adjustRightInd w:val="0"/>
              <w:jc w:val="both"/>
              <w:outlineLvl w:val="0"/>
              <w:rPr>
                <w:rFonts w:eastAsia="Times New Roman"/>
                <w:bCs/>
                <w:spacing w:val="1"/>
              </w:rPr>
            </w:pPr>
            <w:r>
              <w:rPr>
                <w:rFonts w:eastAsia="Times New Roman"/>
                <w:bCs/>
                <w:spacing w:val="1"/>
              </w:rPr>
              <w:t>Aims and Objectives</w:t>
            </w:r>
          </w:p>
        </w:tc>
        <w:tc>
          <w:tcPr>
            <w:tcW w:w="1086" w:type="dxa"/>
          </w:tcPr>
          <w:p w14:paraId="1C811FCC" w14:textId="77777777" w:rsidR="00D00405" w:rsidRPr="00F90125" w:rsidRDefault="00D00405" w:rsidP="00CF4ECB">
            <w:pPr>
              <w:widowControl w:val="0"/>
              <w:spacing w:line="259" w:lineRule="auto"/>
              <w:rPr>
                <w:rFonts w:eastAsia="Calibri"/>
              </w:rPr>
            </w:pPr>
            <w:r>
              <w:rPr>
                <w:rFonts w:eastAsia="Calibri"/>
              </w:rPr>
              <w:t>3</w:t>
            </w:r>
          </w:p>
        </w:tc>
      </w:tr>
      <w:tr w:rsidR="00D00405" w:rsidRPr="00F90125" w14:paraId="4FFD94D9" w14:textId="77777777" w:rsidTr="00CF4ECB">
        <w:tc>
          <w:tcPr>
            <w:tcW w:w="1083" w:type="dxa"/>
          </w:tcPr>
          <w:p w14:paraId="3C7A72DF" w14:textId="77777777" w:rsidR="00D00405" w:rsidRPr="00F90125" w:rsidRDefault="00D00405" w:rsidP="00CF4ECB">
            <w:pPr>
              <w:widowControl w:val="0"/>
              <w:spacing w:line="259" w:lineRule="auto"/>
              <w:rPr>
                <w:rFonts w:eastAsia="Calibri"/>
              </w:rPr>
            </w:pPr>
            <w:r w:rsidRPr="00F90125">
              <w:rPr>
                <w:rFonts w:eastAsia="Calibri"/>
              </w:rPr>
              <w:t>3.</w:t>
            </w:r>
          </w:p>
        </w:tc>
        <w:tc>
          <w:tcPr>
            <w:tcW w:w="6850" w:type="dxa"/>
          </w:tcPr>
          <w:p w14:paraId="4095AB8E" w14:textId="77777777" w:rsidR="00D00405" w:rsidRPr="00F90125" w:rsidRDefault="00D00405" w:rsidP="00CF4ECB">
            <w:pPr>
              <w:widowControl w:val="0"/>
              <w:spacing w:line="259" w:lineRule="auto"/>
              <w:rPr>
                <w:rFonts w:eastAsia="Calibri"/>
              </w:rPr>
            </w:pPr>
            <w:r>
              <w:rPr>
                <w:rFonts w:eastAsia="Calibri"/>
              </w:rPr>
              <w:t>Rent Levels and Affordability</w:t>
            </w:r>
          </w:p>
        </w:tc>
        <w:tc>
          <w:tcPr>
            <w:tcW w:w="1086" w:type="dxa"/>
          </w:tcPr>
          <w:p w14:paraId="48E3388F" w14:textId="77777777" w:rsidR="00D00405" w:rsidRPr="00F90125" w:rsidRDefault="00D00405" w:rsidP="00CF4ECB">
            <w:pPr>
              <w:widowControl w:val="0"/>
              <w:spacing w:line="259" w:lineRule="auto"/>
              <w:rPr>
                <w:rFonts w:eastAsia="Calibri"/>
              </w:rPr>
            </w:pPr>
            <w:r>
              <w:rPr>
                <w:rFonts w:eastAsia="Calibri"/>
              </w:rPr>
              <w:t>3</w:t>
            </w:r>
          </w:p>
        </w:tc>
      </w:tr>
      <w:tr w:rsidR="00D00405" w:rsidRPr="00F90125" w14:paraId="003334BE" w14:textId="77777777" w:rsidTr="00CF4ECB">
        <w:tc>
          <w:tcPr>
            <w:tcW w:w="1083" w:type="dxa"/>
          </w:tcPr>
          <w:p w14:paraId="4E442CF0" w14:textId="77777777" w:rsidR="00D00405" w:rsidRPr="00F90125" w:rsidRDefault="00D00405" w:rsidP="00CF4ECB">
            <w:pPr>
              <w:widowControl w:val="0"/>
              <w:spacing w:line="259" w:lineRule="auto"/>
              <w:rPr>
                <w:rFonts w:eastAsia="Calibri"/>
              </w:rPr>
            </w:pPr>
            <w:r w:rsidRPr="00F90125">
              <w:rPr>
                <w:rFonts w:eastAsia="Calibri"/>
              </w:rPr>
              <w:t>4.</w:t>
            </w:r>
          </w:p>
        </w:tc>
        <w:tc>
          <w:tcPr>
            <w:tcW w:w="6850" w:type="dxa"/>
          </w:tcPr>
          <w:p w14:paraId="287CC071" w14:textId="77777777" w:rsidR="00D00405" w:rsidRPr="00F90125" w:rsidRDefault="00D00405" w:rsidP="00CF4ECB">
            <w:pPr>
              <w:widowControl w:val="0"/>
              <w:spacing w:line="259" w:lineRule="auto"/>
              <w:rPr>
                <w:rFonts w:eastAsia="Calibri"/>
              </w:rPr>
            </w:pPr>
            <w:r>
              <w:rPr>
                <w:rFonts w:eastAsia="Calibri"/>
              </w:rPr>
              <w:t>Mainstream Rent Setting method</w:t>
            </w:r>
          </w:p>
        </w:tc>
        <w:tc>
          <w:tcPr>
            <w:tcW w:w="1086" w:type="dxa"/>
          </w:tcPr>
          <w:p w14:paraId="54EF6CF1" w14:textId="77777777" w:rsidR="00D00405" w:rsidRPr="00F90125" w:rsidRDefault="00D00405" w:rsidP="00CF4ECB">
            <w:pPr>
              <w:widowControl w:val="0"/>
              <w:spacing w:line="259" w:lineRule="auto"/>
              <w:rPr>
                <w:rFonts w:eastAsia="Calibri"/>
              </w:rPr>
            </w:pPr>
            <w:r>
              <w:rPr>
                <w:rFonts w:eastAsia="Calibri"/>
              </w:rPr>
              <w:t>3</w:t>
            </w:r>
          </w:p>
        </w:tc>
      </w:tr>
      <w:tr w:rsidR="00D00405" w:rsidRPr="00F90125" w14:paraId="5BC58B26" w14:textId="77777777" w:rsidTr="00CF4ECB">
        <w:tc>
          <w:tcPr>
            <w:tcW w:w="1083" w:type="dxa"/>
          </w:tcPr>
          <w:p w14:paraId="477B12AC" w14:textId="77777777" w:rsidR="00D00405" w:rsidRPr="00F90125" w:rsidRDefault="00D00405" w:rsidP="00CF4ECB">
            <w:pPr>
              <w:widowControl w:val="0"/>
              <w:spacing w:line="259" w:lineRule="auto"/>
              <w:rPr>
                <w:rFonts w:eastAsia="Calibri"/>
              </w:rPr>
            </w:pPr>
            <w:r w:rsidRPr="00F90125">
              <w:rPr>
                <w:rFonts w:eastAsia="Calibri"/>
              </w:rPr>
              <w:t>5.</w:t>
            </w:r>
          </w:p>
        </w:tc>
        <w:tc>
          <w:tcPr>
            <w:tcW w:w="6850" w:type="dxa"/>
          </w:tcPr>
          <w:p w14:paraId="57882C6C" w14:textId="77777777" w:rsidR="00D00405" w:rsidRPr="00F90125" w:rsidRDefault="00D00405" w:rsidP="00CF4ECB">
            <w:pPr>
              <w:widowControl w:val="0"/>
              <w:spacing w:line="259" w:lineRule="auto"/>
              <w:rPr>
                <w:rFonts w:eastAsia="Calibri"/>
              </w:rPr>
            </w:pPr>
            <w:r>
              <w:rPr>
                <w:rFonts w:eastAsia="Calibri"/>
              </w:rPr>
              <w:t>Shared Ownership</w:t>
            </w:r>
          </w:p>
        </w:tc>
        <w:tc>
          <w:tcPr>
            <w:tcW w:w="1086" w:type="dxa"/>
          </w:tcPr>
          <w:p w14:paraId="1E1D0E97" w14:textId="77777777" w:rsidR="00D00405" w:rsidRPr="00F90125" w:rsidRDefault="00D00405" w:rsidP="00CF4ECB">
            <w:pPr>
              <w:widowControl w:val="0"/>
              <w:spacing w:line="259" w:lineRule="auto"/>
              <w:rPr>
                <w:rFonts w:eastAsia="Calibri"/>
              </w:rPr>
            </w:pPr>
            <w:r>
              <w:rPr>
                <w:rFonts w:eastAsia="Calibri"/>
              </w:rPr>
              <w:t>4</w:t>
            </w:r>
          </w:p>
        </w:tc>
      </w:tr>
      <w:tr w:rsidR="00D00405" w:rsidRPr="00F90125" w14:paraId="3E98CCB6" w14:textId="77777777" w:rsidTr="00CF4ECB">
        <w:tc>
          <w:tcPr>
            <w:tcW w:w="1083" w:type="dxa"/>
          </w:tcPr>
          <w:p w14:paraId="447817E8" w14:textId="77777777" w:rsidR="00D00405" w:rsidRPr="00F90125" w:rsidRDefault="00D00405" w:rsidP="00CF4ECB">
            <w:pPr>
              <w:widowControl w:val="0"/>
              <w:spacing w:line="259" w:lineRule="auto"/>
              <w:rPr>
                <w:rFonts w:eastAsia="Calibri"/>
              </w:rPr>
            </w:pPr>
            <w:r w:rsidRPr="00F90125">
              <w:rPr>
                <w:rFonts w:eastAsia="Calibri"/>
              </w:rPr>
              <w:t>6.</w:t>
            </w:r>
          </w:p>
        </w:tc>
        <w:tc>
          <w:tcPr>
            <w:tcW w:w="6850" w:type="dxa"/>
          </w:tcPr>
          <w:p w14:paraId="4E39F6B9" w14:textId="77777777" w:rsidR="00D00405" w:rsidRPr="00F90125" w:rsidRDefault="00D00405" w:rsidP="00CF4ECB">
            <w:pPr>
              <w:widowControl w:val="0"/>
              <w:tabs>
                <w:tab w:val="left" w:pos="1134"/>
              </w:tabs>
              <w:kinsoku w:val="0"/>
              <w:overflowPunct w:val="0"/>
              <w:autoSpaceDE w:val="0"/>
              <w:autoSpaceDN w:val="0"/>
              <w:adjustRightInd w:val="0"/>
              <w:spacing w:line="275" w:lineRule="exact"/>
              <w:jc w:val="both"/>
              <w:outlineLvl w:val="0"/>
              <w:rPr>
                <w:rFonts w:eastAsia="Times New Roman"/>
                <w:bCs/>
                <w:spacing w:val="1"/>
              </w:rPr>
            </w:pPr>
            <w:r>
              <w:rPr>
                <w:rFonts w:eastAsia="Times New Roman"/>
                <w:bCs/>
                <w:spacing w:val="1"/>
              </w:rPr>
              <w:t>Supported Accommodation</w:t>
            </w:r>
          </w:p>
        </w:tc>
        <w:tc>
          <w:tcPr>
            <w:tcW w:w="1086" w:type="dxa"/>
          </w:tcPr>
          <w:p w14:paraId="20BAF013" w14:textId="77777777" w:rsidR="00D00405" w:rsidRPr="00F90125" w:rsidRDefault="00D00405" w:rsidP="00CF4ECB">
            <w:pPr>
              <w:widowControl w:val="0"/>
              <w:spacing w:line="259" w:lineRule="auto"/>
              <w:rPr>
                <w:rFonts w:eastAsia="Calibri"/>
              </w:rPr>
            </w:pPr>
            <w:r>
              <w:rPr>
                <w:rFonts w:eastAsia="Calibri"/>
              </w:rPr>
              <w:t>4</w:t>
            </w:r>
          </w:p>
        </w:tc>
      </w:tr>
      <w:tr w:rsidR="00D00405" w:rsidRPr="00F90125" w14:paraId="28688755" w14:textId="77777777" w:rsidTr="00FC6819">
        <w:trPr>
          <w:trHeight w:val="285"/>
        </w:trPr>
        <w:tc>
          <w:tcPr>
            <w:tcW w:w="1083" w:type="dxa"/>
          </w:tcPr>
          <w:p w14:paraId="06F24AB9" w14:textId="77777777" w:rsidR="00D00405" w:rsidRPr="00F90125" w:rsidRDefault="00D00405" w:rsidP="00CF4ECB">
            <w:pPr>
              <w:widowControl w:val="0"/>
              <w:spacing w:line="259" w:lineRule="auto"/>
              <w:rPr>
                <w:rFonts w:eastAsia="Calibri"/>
              </w:rPr>
            </w:pPr>
            <w:r w:rsidRPr="00F90125">
              <w:rPr>
                <w:rFonts w:eastAsia="Calibri"/>
              </w:rPr>
              <w:t>7.</w:t>
            </w:r>
          </w:p>
        </w:tc>
        <w:tc>
          <w:tcPr>
            <w:tcW w:w="6850" w:type="dxa"/>
          </w:tcPr>
          <w:p w14:paraId="18293E34" w14:textId="77777777" w:rsidR="00D00405" w:rsidRPr="00F90125" w:rsidRDefault="00D00405" w:rsidP="00CF4ECB">
            <w:pPr>
              <w:widowControl w:val="0"/>
              <w:tabs>
                <w:tab w:val="left" w:pos="1134"/>
              </w:tabs>
              <w:kinsoku w:val="0"/>
              <w:overflowPunct w:val="0"/>
              <w:autoSpaceDE w:val="0"/>
              <w:autoSpaceDN w:val="0"/>
              <w:adjustRightInd w:val="0"/>
              <w:spacing w:before="77"/>
              <w:jc w:val="both"/>
              <w:outlineLvl w:val="0"/>
              <w:rPr>
                <w:rFonts w:eastAsia="Times New Roman"/>
                <w:bCs/>
                <w:spacing w:val="1"/>
              </w:rPr>
            </w:pPr>
            <w:r>
              <w:rPr>
                <w:rFonts w:eastAsia="Times New Roman"/>
                <w:bCs/>
                <w:spacing w:val="1"/>
              </w:rPr>
              <w:t>Comparability</w:t>
            </w:r>
          </w:p>
        </w:tc>
        <w:tc>
          <w:tcPr>
            <w:tcW w:w="1086" w:type="dxa"/>
          </w:tcPr>
          <w:p w14:paraId="0143FDB4" w14:textId="77777777" w:rsidR="00D00405" w:rsidRPr="00F90125" w:rsidRDefault="00D00405" w:rsidP="00CF4ECB">
            <w:pPr>
              <w:widowControl w:val="0"/>
              <w:spacing w:line="259" w:lineRule="auto"/>
              <w:rPr>
                <w:rFonts w:eastAsia="Calibri"/>
              </w:rPr>
            </w:pPr>
            <w:r>
              <w:rPr>
                <w:rFonts w:eastAsia="Calibri"/>
              </w:rPr>
              <w:t>4</w:t>
            </w:r>
          </w:p>
        </w:tc>
      </w:tr>
      <w:tr w:rsidR="00D00405" w:rsidRPr="00F90125" w14:paraId="4619B382" w14:textId="77777777" w:rsidTr="00CF4ECB">
        <w:tc>
          <w:tcPr>
            <w:tcW w:w="1083" w:type="dxa"/>
          </w:tcPr>
          <w:p w14:paraId="4D1C9069" w14:textId="77777777" w:rsidR="00D00405" w:rsidRPr="00F90125" w:rsidRDefault="00D00405" w:rsidP="00CF4ECB">
            <w:pPr>
              <w:widowControl w:val="0"/>
              <w:spacing w:line="259" w:lineRule="auto"/>
              <w:rPr>
                <w:rFonts w:eastAsia="Calibri"/>
              </w:rPr>
            </w:pPr>
            <w:r w:rsidRPr="00F90125">
              <w:rPr>
                <w:rFonts w:eastAsia="Calibri"/>
              </w:rPr>
              <w:t xml:space="preserve">8. </w:t>
            </w:r>
          </w:p>
        </w:tc>
        <w:tc>
          <w:tcPr>
            <w:tcW w:w="6850" w:type="dxa"/>
          </w:tcPr>
          <w:p w14:paraId="5BDCEAE4" w14:textId="77777777" w:rsidR="00D00405" w:rsidRPr="00F90125" w:rsidRDefault="00D00405" w:rsidP="00CF4ECB">
            <w:pPr>
              <w:widowControl w:val="0"/>
              <w:spacing w:line="259" w:lineRule="auto"/>
              <w:rPr>
                <w:rFonts w:eastAsia="Calibri"/>
              </w:rPr>
            </w:pPr>
            <w:r>
              <w:rPr>
                <w:rFonts w:eastAsia="Calibri"/>
              </w:rPr>
              <w:t xml:space="preserve">Annual Rent Review </w:t>
            </w:r>
          </w:p>
        </w:tc>
        <w:tc>
          <w:tcPr>
            <w:tcW w:w="1086" w:type="dxa"/>
          </w:tcPr>
          <w:p w14:paraId="452C0DC9" w14:textId="77777777" w:rsidR="00D00405" w:rsidRPr="00F90125" w:rsidRDefault="00D00405" w:rsidP="00CF4ECB">
            <w:pPr>
              <w:widowControl w:val="0"/>
              <w:spacing w:line="259" w:lineRule="auto"/>
              <w:rPr>
                <w:rFonts w:eastAsia="Calibri"/>
              </w:rPr>
            </w:pPr>
            <w:r>
              <w:rPr>
                <w:rFonts w:eastAsia="Calibri"/>
              </w:rPr>
              <w:t>4</w:t>
            </w:r>
          </w:p>
        </w:tc>
      </w:tr>
      <w:tr w:rsidR="00D00405" w:rsidRPr="00F90125" w14:paraId="0D30896E" w14:textId="77777777" w:rsidTr="00CF4ECB">
        <w:tc>
          <w:tcPr>
            <w:tcW w:w="1083" w:type="dxa"/>
          </w:tcPr>
          <w:p w14:paraId="630853BF" w14:textId="77777777" w:rsidR="00D00405" w:rsidRPr="00F90125" w:rsidRDefault="00D00405" w:rsidP="00CF4ECB">
            <w:pPr>
              <w:widowControl w:val="0"/>
              <w:spacing w:line="259" w:lineRule="auto"/>
              <w:rPr>
                <w:rFonts w:eastAsia="Calibri"/>
              </w:rPr>
            </w:pPr>
            <w:r w:rsidRPr="00F90125">
              <w:rPr>
                <w:rFonts w:eastAsia="Calibri"/>
              </w:rPr>
              <w:t xml:space="preserve">9. </w:t>
            </w:r>
          </w:p>
        </w:tc>
        <w:tc>
          <w:tcPr>
            <w:tcW w:w="6850" w:type="dxa"/>
          </w:tcPr>
          <w:p w14:paraId="5181B834" w14:textId="77777777" w:rsidR="00D00405" w:rsidRPr="00F90125" w:rsidRDefault="00D00405" w:rsidP="00CF4ECB">
            <w:pPr>
              <w:widowControl w:val="0"/>
              <w:spacing w:line="259" w:lineRule="auto"/>
              <w:rPr>
                <w:rFonts w:eastAsia="Calibri"/>
                <w:highlight w:val="yellow"/>
              </w:rPr>
            </w:pPr>
            <w:r w:rsidRPr="004A6A9E">
              <w:rPr>
                <w:rFonts w:eastAsia="Calibri"/>
              </w:rPr>
              <w:t>Policy Review</w:t>
            </w:r>
          </w:p>
        </w:tc>
        <w:tc>
          <w:tcPr>
            <w:tcW w:w="1086" w:type="dxa"/>
          </w:tcPr>
          <w:p w14:paraId="7884795B" w14:textId="77777777" w:rsidR="00D00405" w:rsidRPr="00F90125" w:rsidRDefault="00D00405" w:rsidP="00CF4ECB">
            <w:pPr>
              <w:widowControl w:val="0"/>
              <w:spacing w:line="259" w:lineRule="auto"/>
              <w:rPr>
                <w:rFonts w:eastAsia="Calibri"/>
              </w:rPr>
            </w:pPr>
            <w:r>
              <w:rPr>
                <w:rFonts w:eastAsia="Calibri"/>
              </w:rPr>
              <w:t>5</w:t>
            </w:r>
          </w:p>
        </w:tc>
      </w:tr>
      <w:tr w:rsidR="00D00405" w:rsidRPr="00F90125" w14:paraId="47094F8A" w14:textId="77777777" w:rsidTr="00CF4ECB">
        <w:tc>
          <w:tcPr>
            <w:tcW w:w="1083" w:type="dxa"/>
          </w:tcPr>
          <w:p w14:paraId="1A14EDB2" w14:textId="77777777" w:rsidR="00D00405" w:rsidRPr="00F90125" w:rsidRDefault="00D00405" w:rsidP="00CF4ECB">
            <w:pPr>
              <w:widowControl w:val="0"/>
              <w:spacing w:line="259" w:lineRule="auto"/>
              <w:rPr>
                <w:rFonts w:eastAsia="Calibri"/>
              </w:rPr>
            </w:pPr>
            <w:r w:rsidRPr="00F90125">
              <w:rPr>
                <w:rFonts w:eastAsia="Calibri"/>
              </w:rPr>
              <w:t>10.</w:t>
            </w:r>
          </w:p>
        </w:tc>
        <w:tc>
          <w:tcPr>
            <w:tcW w:w="6850" w:type="dxa"/>
          </w:tcPr>
          <w:p w14:paraId="2FEF8A00" w14:textId="77777777" w:rsidR="00D00405" w:rsidRPr="00F90125" w:rsidRDefault="00D00405" w:rsidP="00CF4ECB">
            <w:pPr>
              <w:widowControl w:val="0"/>
              <w:spacing w:line="259" w:lineRule="auto"/>
              <w:rPr>
                <w:rFonts w:eastAsia="Calibri" w:cs="Times New Roman"/>
              </w:rPr>
            </w:pPr>
            <w:r>
              <w:rPr>
                <w:rFonts w:eastAsia="Calibri" w:cs="Times New Roman"/>
              </w:rPr>
              <w:t>Equality and Diversity</w:t>
            </w:r>
          </w:p>
        </w:tc>
        <w:tc>
          <w:tcPr>
            <w:tcW w:w="1086" w:type="dxa"/>
          </w:tcPr>
          <w:p w14:paraId="138DEEA8" w14:textId="77777777" w:rsidR="00D00405" w:rsidRPr="00F90125" w:rsidRDefault="00D00405" w:rsidP="00CF4ECB">
            <w:pPr>
              <w:widowControl w:val="0"/>
              <w:spacing w:line="259" w:lineRule="auto"/>
              <w:rPr>
                <w:rFonts w:eastAsia="Calibri"/>
              </w:rPr>
            </w:pPr>
            <w:r>
              <w:rPr>
                <w:rFonts w:eastAsia="Calibri"/>
              </w:rPr>
              <w:t>5</w:t>
            </w:r>
          </w:p>
        </w:tc>
      </w:tr>
    </w:tbl>
    <w:p w14:paraId="7DBE350E" w14:textId="77777777" w:rsidR="00D00405" w:rsidRDefault="00D00405" w:rsidP="00D00405">
      <w:pPr>
        <w:rPr>
          <w:rFonts w:ascii="Verdana" w:hAnsi="Verdana"/>
          <w:b/>
          <w:sz w:val="32"/>
        </w:rPr>
      </w:pPr>
      <w:r>
        <w:rPr>
          <w:rFonts w:ascii="Verdana" w:hAnsi="Verdana"/>
          <w:b/>
          <w:sz w:val="32"/>
        </w:rPr>
        <w:br w:type="page"/>
      </w:r>
    </w:p>
    <w:p w14:paraId="4BA7EDAF" w14:textId="77777777" w:rsidR="00D00405" w:rsidRDefault="00D00405" w:rsidP="00A61295">
      <w:pPr>
        <w:rPr>
          <w:rFonts w:ascii="Verdana" w:hAnsi="Verdana"/>
          <w:b/>
          <w:sz w:val="32"/>
        </w:rPr>
      </w:pPr>
    </w:p>
    <w:p w14:paraId="47F15229" w14:textId="310B582B" w:rsidR="00A61295" w:rsidRPr="00A61295" w:rsidRDefault="00F90125" w:rsidP="00A61295">
      <w:pPr>
        <w:numPr>
          <w:ilvl w:val="0"/>
          <w:numId w:val="1"/>
        </w:numPr>
        <w:rPr>
          <w:b/>
        </w:rPr>
      </w:pPr>
      <w:r w:rsidRPr="00A61295">
        <w:rPr>
          <w:b/>
          <w:u w:val="single"/>
        </w:rPr>
        <w:t>Introduction</w:t>
      </w:r>
      <w:r w:rsidRPr="00A61295">
        <w:rPr>
          <w:b/>
        </w:rPr>
        <w:t xml:space="preserve"> </w:t>
      </w:r>
    </w:p>
    <w:p w14:paraId="0FE9C43E" w14:textId="77777777" w:rsidR="00A61295" w:rsidRPr="00A61295" w:rsidRDefault="00A61295" w:rsidP="00A61295"/>
    <w:p w14:paraId="161A2DBB" w14:textId="77777777" w:rsidR="00A61295" w:rsidRPr="00A61295" w:rsidRDefault="00A61295" w:rsidP="00A61295">
      <w:pPr>
        <w:ind w:left="720"/>
      </w:pPr>
      <w:r w:rsidRPr="00A61295">
        <w:t>Kingsridge Cleddans Housing Association is required by the Scottish Housing Regulator to formulate a rent setting policy, which will allow the Association to set affordable rents for all our housing stock.</w:t>
      </w:r>
    </w:p>
    <w:p w14:paraId="0559230C" w14:textId="77777777" w:rsidR="00A61295" w:rsidRPr="00A61295" w:rsidRDefault="00A61295" w:rsidP="00A61295">
      <w:pPr>
        <w:ind w:left="720"/>
      </w:pPr>
    </w:p>
    <w:p w14:paraId="47A23B1B" w14:textId="77777777" w:rsidR="00A61295" w:rsidRPr="00A61295" w:rsidRDefault="00A61295" w:rsidP="00A61295">
      <w:pPr>
        <w:ind w:left="720"/>
      </w:pPr>
      <w:r w:rsidRPr="00A61295">
        <w:t>In adopting this policy, the Association should ensure that the rental income will cover running costs and be comparable with other rents in the area.</w:t>
      </w:r>
    </w:p>
    <w:p w14:paraId="35C25A0B" w14:textId="77777777" w:rsidR="00A61295" w:rsidRPr="00A61295" w:rsidRDefault="00A61295" w:rsidP="00A61295">
      <w:pPr>
        <w:ind w:left="720"/>
      </w:pPr>
    </w:p>
    <w:p w14:paraId="7C052CA9" w14:textId="394E2FF6" w:rsidR="00A61295" w:rsidRPr="00A61295" w:rsidRDefault="0037030D" w:rsidP="00A61295">
      <w:pPr>
        <w:numPr>
          <w:ilvl w:val="0"/>
          <w:numId w:val="1"/>
        </w:numPr>
        <w:rPr>
          <w:b/>
        </w:rPr>
      </w:pPr>
      <w:r w:rsidRPr="00A61295">
        <w:rPr>
          <w:b/>
          <w:u w:val="single"/>
        </w:rPr>
        <w:t xml:space="preserve">Aims and objectives </w:t>
      </w:r>
    </w:p>
    <w:p w14:paraId="6D8F5956" w14:textId="77777777" w:rsidR="00A61295" w:rsidRPr="00A61295" w:rsidRDefault="00A61295" w:rsidP="00A61295"/>
    <w:p w14:paraId="2F632185" w14:textId="54387A8A" w:rsidR="00A61295" w:rsidRPr="00A61295" w:rsidRDefault="00A61295" w:rsidP="00A61295">
      <w:pPr>
        <w:ind w:left="720"/>
      </w:pPr>
      <w:r w:rsidRPr="00A61295">
        <w:t>The Association's aim is to set rents based on a rental policy, which is both easy to administer and easily understood by staff</w:t>
      </w:r>
      <w:r w:rsidR="0037030D">
        <w:t xml:space="preserve">, </w:t>
      </w:r>
      <w:r w:rsidRPr="00A61295">
        <w:t>committee</w:t>
      </w:r>
      <w:r w:rsidR="0037030D">
        <w:t xml:space="preserve"> and our customers</w:t>
      </w:r>
      <w:r w:rsidRPr="00A61295">
        <w:t>.</w:t>
      </w:r>
    </w:p>
    <w:p w14:paraId="0909A6BD" w14:textId="77777777" w:rsidR="00A61295" w:rsidRPr="00A61295" w:rsidRDefault="00A61295" w:rsidP="00A61295">
      <w:pPr>
        <w:ind w:left="720"/>
      </w:pPr>
    </w:p>
    <w:p w14:paraId="524E55B5" w14:textId="0DC57827" w:rsidR="00A61295" w:rsidRPr="00A61295" w:rsidRDefault="00A61295" w:rsidP="00A61295">
      <w:pPr>
        <w:ind w:left="720"/>
      </w:pPr>
      <w:r w:rsidRPr="00A61295">
        <w:t xml:space="preserve">The Association is also committed to ensuring that rent levels </w:t>
      </w:r>
      <w:r w:rsidR="0037030D">
        <w:t xml:space="preserve">remain competitive with those of other social landlords and are affordable to tenants. </w:t>
      </w:r>
    </w:p>
    <w:p w14:paraId="223AF1AC" w14:textId="77777777" w:rsidR="00A61295" w:rsidRPr="00A61295" w:rsidRDefault="00A61295" w:rsidP="00A61295">
      <w:pPr>
        <w:ind w:left="720"/>
      </w:pPr>
    </w:p>
    <w:p w14:paraId="3F32BF05" w14:textId="77777777" w:rsidR="00A61295" w:rsidRPr="00A61295" w:rsidRDefault="00A61295" w:rsidP="00A61295">
      <w:pPr>
        <w:ind w:left="720"/>
      </w:pPr>
      <w:r w:rsidRPr="00A61295">
        <w:t>While taking the above factors into account, the Association must ensure that rent levels provide sufficient funding for:</w:t>
      </w:r>
    </w:p>
    <w:p w14:paraId="18D70A72" w14:textId="77777777" w:rsidR="00A61295" w:rsidRPr="00A61295" w:rsidRDefault="00A61295" w:rsidP="00A61295">
      <w:pPr>
        <w:ind w:left="720"/>
      </w:pPr>
    </w:p>
    <w:p w14:paraId="0CB872E9" w14:textId="77777777" w:rsidR="00A61295" w:rsidRPr="00A61295" w:rsidRDefault="00A61295" w:rsidP="00A61295">
      <w:pPr>
        <w:numPr>
          <w:ilvl w:val="0"/>
          <w:numId w:val="2"/>
        </w:numPr>
      </w:pPr>
      <w:r w:rsidRPr="00A61295">
        <w:t>Management and Maintenance costs.</w:t>
      </w:r>
    </w:p>
    <w:p w14:paraId="1B1D10AA" w14:textId="77777777" w:rsidR="00A61295" w:rsidRDefault="00A61295" w:rsidP="00A61295">
      <w:pPr>
        <w:numPr>
          <w:ilvl w:val="0"/>
          <w:numId w:val="2"/>
        </w:numPr>
      </w:pPr>
      <w:r w:rsidRPr="00A61295">
        <w:t>Future repairs, including major repairs.</w:t>
      </w:r>
    </w:p>
    <w:p w14:paraId="11EBC8A3" w14:textId="33DEB2AA" w:rsidR="0037030D" w:rsidRPr="00A61295" w:rsidRDefault="0037030D" w:rsidP="00A61295">
      <w:pPr>
        <w:numPr>
          <w:ilvl w:val="0"/>
          <w:numId w:val="2"/>
        </w:numPr>
      </w:pPr>
      <w:r>
        <w:t xml:space="preserve">Investment in our properties. </w:t>
      </w:r>
    </w:p>
    <w:p w14:paraId="45151031" w14:textId="77777777" w:rsidR="00A61295" w:rsidRPr="00A61295" w:rsidRDefault="00A61295" w:rsidP="00A61295">
      <w:pPr>
        <w:numPr>
          <w:ilvl w:val="0"/>
          <w:numId w:val="2"/>
        </w:numPr>
      </w:pPr>
      <w:r w:rsidRPr="00A61295">
        <w:t>Voids and bad debt provision.</w:t>
      </w:r>
    </w:p>
    <w:p w14:paraId="541AF7C0" w14:textId="1C917B93" w:rsidR="00A61295" w:rsidRDefault="00A61295" w:rsidP="00A61295">
      <w:pPr>
        <w:numPr>
          <w:ilvl w:val="0"/>
          <w:numId w:val="2"/>
        </w:numPr>
      </w:pPr>
      <w:r w:rsidRPr="00A61295">
        <w:t>Inflationary indicators</w:t>
      </w:r>
      <w:r w:rsidR="0037030D">
        <w:t xml:space="preserve">. </w:t>
      </w:r>
    </w:p>
    <w:p w14:paraId="1A5D9FFB" w14:textId="5708EF2D" w:rsidR="0037030D" w:rsidRPr="00A61295" w:rsidRDefault="0037030D" w:rsidP="00A61295">
      <w:pPr>
        <w:numPr>
          <w:ilvl w:val="0"/>
          <w:numId w:val="2"/>
        </w:numPr>
      </w:pPr>
      <w:r>
        <w:t xml:space="preserve">Meeting our duties to the Council to help alleviate homelessness through developing. </w:t>
      </w:r>
    </w:p>
    <w:p w14:paraId="299F5353" w14:textId="77777777" w:rsidR="00A61295" w:rsidRPr="00A61295" w:rsidRDefault="00A61295" w:rsidP="00A61295"/>
    <w:p w14:paraId="604C5112" w14:textId="22C81BA1" w:rsidR="00A61295" w:rsidRPr="00A61295" w:rsidRDefault="0037030D" w:rsidP="00A61295">
      <w:pPr>
        <w:numPr>
          <w:ilvl w:val="0"/>
          <w:numId w:val="1"/>
        </w:numPr>
        <w:rPr>
          <w:b/>
        </w:rPr>
      </w:pPr>
      <w:r w:rsidRPr="00A61295">
        <w:rPr>
          <w:b/>
          <w:u w:val="single"/>
        </w:rPr>
        <w:t>Rent levels and affordability</w:t>
      </w:r>
      <w:r w:rsidR="00A61295" w:rsidRPr="00A61295">
        <w:rPr>
          <w:b/>
        </w:rPr>
        <w:t xml:space="preserve"> </w:t>
      </w:r>
    </w:p>
    <w:p w14:paraId="6ACF0909" w14:textId="77777777" w:rsidR="00A61295" w:rsidRPr="00A61295" w:rsidRDefault="00A61295" w:rsidP="00A61295"/>
    <w:p w14:paraId="239A94E2" w14:textId="2AA9C49F" w:rsidR="00A61295" w:rsidRPr="00A61295" w:rsidRDefault="00A61295" w:rsidP="00A61295">
      <w:pPr>
        <w:ind w:left="720"/>
      </w:pPr>
      <w:r w:rsidRPr="00A61295">
        <w:t xml:space="preserve">Affordability is subjective and can be influenced by spending patterns, lifestyle choices and other household debts. </w:t>
      </w:r>
      <w:r w:rsidR="0037030D">
        <w:t xml:space="preserve">We will measure affordability </w:t>
      </w:r>
      <w:proofErr w:type="gramStart"/>
      <w:r w:rsidR="0037030D">
        <w:t>through the use of</w:t>
      </w:r>
      <w:proofErr w:type="gramEnd"/>
      <w:r w:rsidR="0037030D">
        <w:t xml:space="preserve"> comparison benchmarks with other housing providers, particularly those within the social housing sector. We will also measure our rents against rent affordability tools as provided by organisations such as SFHA. Finally, we will seek feedback from tenants on how they feel their rent is affordable and offering value for money.  </w:t>
      </w:r>
    </w:p>
    <w:p w14:paraId="7F2BBE26" w14:textId="77777777" w:rsidR="00A61295" w:rsidRPr="00A61295" w:rsidRDefault="00A61295" w:rsidP="0037030D"/>
    <w:p w14:paraId="4C2AA1AE" w14:textId="0272A65F" w:rsidR="00A61295" w:rsidRPr="00A61295" w:rsidRDefault="0037030D" w:rsidP="00A61295">
      <w:pPr>
        <w:numPr>
          <w:ilvl w:val="0"/>
          <w:numId w:val="1"/>
        </w:numPr>
        <w:rPr>
          <w:b/>
        </w:rPr>
      </w:pPr>
      <w:r w:rsidRPr="00A61295">
        <w:rPr>
          <w:b/>
          <w:u w:val="single"/>
        </w:rPr>
        <w:t>Mainstream rent setting method</w:t>
      </w:r>
      <w:r w:rsidR="00A61295" w:rsidRPr="00A61295">
        <w:rPr>
          <w:b/>
        </w:rPr>
        <w:t xml:space="preserve"> </w:t>
      </w:r>
    </w:p>
    <w:p w14:paraId="1A895D04" w14:textId="77777777" w:rsidR="00A61295" w:rsidRPr="00A61295" w:rsidRDefault="00A61295" w:rsidP="00A61295"/>
    <w:p w14:paraId="22C21CE6" w14:textId="77777777" w:rsidR="00A61295" w:rsidRPr="00A61295" w:rsidRDefault="00A61295" w:rsidP="00A61295">
      <w:pPr>
        <w:ind w:left="720"/>
      </w:pPr>
      <w:r w:rsidRPr="00A61295">
        <w:t xml:space="preserve">Mainstream rent charges are based solely on size of accommodation. The Association has 279 mainstream rental properties, 11 shared ownership properties and 2 supported accommodation properties. </w:t>
      </w:r>
    </w:p>
    <w:p w14:paraId="0BDB711C" w14:textId="77777777" w:rsidR="00A61295" w:rsidRPr="00A61295" w:rsidRDefault="00A61295" w:rsidP="00A61295">
      <w:pPr>
        <w:ind w:left="720"/>
        <w:rPr>
          <w:color w:val="FF0000"/>
        </w:rPr>
      </w:pPr>
    </w:p>
    <w:p w14:paraId="37BD246D" w14:textId="78501F57" w:rsidR="00A61295" w:rsidRDefault="00A61295" w:rsidP="007251C6">
      <w:pPr>
        <w:ind w:left="720"/>
      </w:pPr>
      <w:r w:rsidRPr="00A61295">
        <w:t xml:space="preserve">Service charges for the mainstream properties </w:t>
      </w:r>
      <w:r w:rsidR="007251C6">
        <w:t xml:space="preserve">are charged in reflection of the services provided to the properties. </w:t>
      </w:r>
    </w:p>
    <w:p w14:paraId="2F2668B9" w14:textId="77777777" w:rsidR="0037030D" w:rsidRDefault="0037030D" w:rsidP="007251C6"/>
    <w:p w14:paraId="11382223" w14:textId="77777777" w:rsidR="007251C6" w:rsidRDefault="007251C6" w:rsidP="007251C6"/>
    <w:p w14:paraId="1558B062" w14:textId="77777777" w:rsidR="007251C6" w:rsidRPr="00A61295" w:rsidRDefault="007251C6" w:rsidP="007251C6"/>
    <w:p w14:paraId="6E2B429C" w14:textId="77777777" w:rsidR="00A61295" w:rsidRPr="00A61295" w:rsidRDefault="00A61295" w:rsidP="00A61295">
      <w:pPr>
        <w:ind w:left="720"/>
      </w:pPr>
    </w:p>
    <w:p w14:paraId="0CA752C9" w14:textId="262B303A" w:rsidR="00A61295" w:rsidRPr="00A61295" w:rsidRDefault="007251C6" w:rsidP="00A61295">
      <w:pPr>
        <w:numPr>
          <w:ilvl w:val="0"/>
          <w:numId w:val="1"/>
        </w:numPr>
      </w:pPr>
      <w:r w:rsidRPr="00A61295">
        <w:rPr>
          <w:b/>
          <w:u w:val="single"/>
        </w:rPr>
        <w:lastRenderedPageBreak/>
        <w:t>Shared ownership – occupancy charge</w:t>
      </w:r>
    </w:p>
    <w:p w14:paraId="0A1FA318" w14:textId="77777777" w:rsidR="00A61295" w:rsidRPr="00A61295" w:rsidRDefault="00A61295" w:rsidP="00A61295">
      <w:pPr>
        <w:ind w:left="720"/>
      </w:pPr>
    </w:p>
    <w:p w14:paraId="7AC07A6D" w14:textId="77777777" w:rsidR="00A61295" w:rsidRPr="00A61295" w:rsidRDefault="00A61295" w:rsidP="00A61295">
      <w:pPr>
        <w:ind w:left="720"/>
      </w:pPr>
      <w:r w:rsidRPr="00A61295">
        <w:t>The Association has 11 shared ownership properties.  The sharing owners have an Exclusive Occupancy Agreement and as such the method of increasing any element of the charge is different to that of the mainstream rented properties.</w:t>
      </w:r>
    </w:p>
    <w:p w14:paraId="452595F8" w14:textId="77777777" w:rsidR="00A61295" w:rsidRPr="00A61295" w:rsidRDefault="00A61295" w:rsidP="00A61295">
      <w:pPr>
        <w:ind w:left="720"/>
      </w:pPr>
    </w:p>
    <w:p w14:paraId="4DF71400" w14:textId="77777777" w:rsidR="00A61295" w:rsidRPr="00A61295" w:rsidRDefault="00A61295" w:rsidP="00A61295">
      <w:pPr>
        <w:ind w:left="720"/>
      </w:pPr>
      <w:r w:rsidRPr="00A61295">
        <w:t>There are 4 elements to the Occupancy Charge, being base rent, building insurance, gas service/maintenance and management fee.</w:t>
      </w:r>
    </w:p>
    <w:p w14:paraId="1AC713BA" w14:textId="77777777" w:rsidR="00A61295" w:rsidRPr="00A61295" w:rsidRDefault="00A61295" w:rsidP="00A61295">
      <w:pPr>
        <w:ind w:left="720"/>
      </w:pPr>
    </w:p>
    <w:p w14:paraId="624C843C" w14:textId="77777777" w:rsidR="00A61295" w:rsidRPr="00A61295" w:rsidRDefault="00A61295" w:rsidP="00A61295">
      <w:pPr>
        <w:ind w:left="720"/>
      </w:pPr>
      <w:r w:rsidRPr="00A61295">
        <w:t>The base rent element will be increased in line with the proposed mainstream rent charge annually and the service charges will increase in line with the actual costs of the provision of the service.</w:t>
      </w:r>
    </w:p>
    <w:p w14:paraId="2C79DE72" w14:textId="77777777" w:rsidR="00A61295" w:rsidRPr="00A61295" w:rsidRDefault="00A61295" w:rsidP="00A61295">
      <w:pPr>
        <w:ind w:left="720"/>
      </w:pPr>
    </w:p>
    <w:p w14:paraId="5A577D6D" w14:textId="77777777" w:rsidR="00A61295" w:rsidRPr="00A61295" w:rsidRDefault="00A61295" w:rsidP="00A61295">
      <w:pPr>
        <w:ind w:left="720"/>
      </w:pPr>
      <w:r w:rsidRPr="00A61295">
        <w:t xml:space="preserve">The sharing owners will be sent an Occupancy Charge Notification (OCN) detailing the new charges to be applied from the </w:t>
      </w:r>
      <w:proofErr w:type="gramStart"/>
      <w:r w:rsidRPr="00A61295">
        <w:t>1</w:t>
      </w:r>
      <w:r w:rsidRPr="00A61295">
        <w:rPr>
          <w:vertAlign w:val="superscript"/>
        </w:rPr>
        <w:t>st</w:t>
      </w:r>
      <w:proofErr w:type="gramEnd"/>
      <w:r w:rsidRPr="00A61295">
        <w:t xml:space="preserve"> April each year. The OCN will be sent no later than 28 days prior to the charge taking effect.</w:t>
      </w:r>
    </w:p>
    <w:p w14:paraId="69739969" w14:textId="77777777" w:rsidR="00A61295" w:rsidRPr="00A61295" w:rsidRDefault="00A61295" w:rsidP="00A61295">
      <w:pPr>
        <w:ind w:left="720"/>
      </w:pPr>
    </w:p>
    <w:p w14:paraId="12D130AE" w14:textId="77777777" w:rsidR="00A61295" w:rsidRPr="00A61295" w:rsidRDefault="00A61295" w:rsidP="00A61295">
      <w:pPr>
        <w:ind w:left="720"/>
      </w:pPr>
    </w:p>
    <w:p w14:paraId="7E454D63" w14:textId="4B457771" w:rsidR="00A61295" w:rsidRPr="00A61295" w:rsidRDefault="007251C6" w:rsidP="00A61295">
      <w:pPr>
        <w:numPr>
          <w:ilvl w:val="0"/>
          <w:numId w:val="1"/>
        </w:numPr>
      </w:pPr>
      <w:r w:rsidRPr="00A61295">
        <w:rPr>
          <w:b/>
          <w:bCs/>
          <w:u w:val="single"/>
        </w:rPr>
        <w:t>Supported accommodation</w:t>
      </w:r>
    </w:p>
    <w:p w14:paraId="43B6C86C" w14:textId="77777777" w:rsidR="00A61295" w:rsidRPr="00A61295" w:rsidRDefault="00A61295" w:rsidP="00A61295">
      <w:pPr>
        <w:rPr>
          <w:b/>
          <w:bCs/>
          <w:u w:val="single"/>
        </w:rPr>
      </w:pPr>
    </w:p>
    <w:p w14:paraId="5633C202" w14:textId="77777777" w:rsidR="00A61295" w:rsidRPr="00A61295" w:rsidRDefault="00A61295" w:rsidP="00A61295">
      <w:pPr>
        <w:ind w:left="720"/>
      </w:pPr>
      <w:r w:rsidRPr="00A61295">
        <w:t>The Association has 2 supported accommodation properties each housing 3 service users, giving a total of 6 service users. There are two distinct charges applicable to the service being the core rent element and the service elements.</w:t>
      </w:r>
    </w:p>
    <w:p w14:paraId="1AA69A59" w14:textId="77777777" w:rsidR="00A61295" w:rsidRPr="00A61295" w:rsidRDefault="00A61295" w:rsidP="00A61295">
      <w:pPr>
        <w:ind w:left="720"/>
      </w:pPr>
    </w:p>
    <w:p w14:paraId="047C1716" w14:textId="40F09345" w:rsidR="00A61295" w:rsidRPr="00A61295" w:rsidRDefault="00A61295" w:rsidP="00A61295">
      <w:pPr>
        <w:ind w:left="720"/>
      </w:pPr>
      <w:r w:rsidRPr="00A61295">
        <w:t>As with above, the core rent element will be increased in line with the mainstream rent increase annually from the 1</w:t>
      </w:r>
      <w:r w:rsidRPr="00A61295">
        <w:rPr>
          <w:vertAlign w:val="superscript"/>
        </w:rPr>
        <w:t>st</w:t>
      </w:r>
      <w:r w:rsidRPr="00A61295">
        <w:t xml:space="preserve"> of April.  The service elements will be increased in line with the actual cost of providing that service.</w:t>
      </w:r>
    </w:p>
    <w:p w14:paraId="278E56CC" w14:textId="77777777" w:rsidR="00A61295" w:rsidRPr="00A61295" w:rsidRDefault="00A61295" w:rsidP="00A61295">
      <w:pPr>
        <w:ind w:left="720"/>
      </w:pPr>
    </w:p>
    <w:p w14:paraId="1AA4A59B" w14:textId="5D4B1B41" w:rsidR="00A61295" w:rsidRPr="00A61295" w:rsidRDefault="007251C6" w:rsidP="00A61295">
      <w:pPr>
        <w:ind w:left="720"/>
      </w:pPr>
      <w:r>
        <w:t>N</w:t>
      </w:r>
      <w:r w:rsidR="00A61295" w:rsidRPr="00A61295">
        <w:t>ew charges will be notified in writing to the residents/the residents advocate/care provider no later than 28 days prior to the new charge being applied.</w:t>
      </w:r>
    </w:p>
    <w:p w14:paraId="3971E873" w14:textId="77777777" w:rsidR="00A61295" w:rsidRPr="00A61295" w:rsidRDefault="00A61295" w:rsidP="00A61295">
      <w:pPr>
        <w:ind w:left="720"/>
      </w:pPr>
    </w:p>
    <w:p w14:paraId="61EF6602" w14:textId="77777777" w:rsidR="00A61295" w:rsidRPr="00A61295" w:rsidRDefault="00A61295" w:rsidP="00A61295">
      <w:pPr>
        <w:ind w:left="720"/>
      </w:pPr>
    </w:p>
    <w:p w14:paraId="38293996" w14:textId="0CF089AD" w:rsidR="00A61295" w:rsidRPr="00A61295" w:rsidRDefault="007251C6" w:rsidP="00A61295">
      <w:pPr>
        <w:numPr>
          <w:ilvl w:val="0"/>
          <w:numId w:val="1"/>
        </w:numPr>
      </w:pPr>
      <w:r w:rsidRPr="00A61295">
        <w:rPr>
          <w:b/>
          <w:u w:val="single"/>
        </w:rPr>
        <w:t xml:space="preserve">Comparability </w:t>
      </w:r>
    </w:p>
    <w:p w14:paraId="209307AF" w14:textId="77777777" w:rsidR="00A61295" w:rsidRPr="00A61295" w:rsidRDefault="00A61295" w:rsidP="00A61295"/>
    <w:p w14:paraId="439A9665" w14:textId="4A431BF5" w:rsidR="00A61295" w:rsidRPr="00A61295" w:rsidRDefault="00A61295" w:rsidP="00A61295">
      <w:pPr>
        <w:ind w:left="720"/>
      </w:pPr>
      <w:r w:rsidRPr="00A61295">
        <w:t xml:space="preserve">The Association's rent levels for each property type will be compared against </w:t>
      </w:r>
      <w:r w:rsidR="00D00405">
        <w:t xml:space="preserve">those within the sector and information on our rents will be reported to the Management Committee and shall also be detailed in our annual report to tenants. </w:t>
      </w:r>
    </w:p>
    <w:p w14:paraId="0E382490" w14:textId="77777777" w:rsidR="00A61295" w:rsidRPr="00A61295" w:rsidRDefault="00A61295" w:rsidP="00A61295"/>
    <w:p w14:paraId="1ADF5319" w14:textId="77777777" w:rsidR="00A61295" w:rsidRPr="00A61295" w:rsidRDefault="00A61295" w:rsidP="00A61295"/>
    <w:p w14:paraId="0483B50F" w14:textId="32ADB2B2" w:rsidR="00A61295" w:rsidRPr="00A61295" w:rsidRDefault="00D00405" w:rsidP="00A61295">
      <w:pPr>
        <w:numPr>
          <w:ilvl w:val="0"/>
          <w:numId w:val="1"/>
        </w:numPr>
      </w:pPr>
      <w:r w:rsidRPr="00A61295">
        <w:rPr>
          <w:b/>
          <w:u w:val="single"/>
        </w:rPr>
        <w:t>Annual rent review</w:t>
      </w:r>
      <w:r w:rsidR="00A61295" w:rsidRPr="00A61295">
        <w:t xml:space="preserve"> </w:t>
      </w:r>
      <w:r w:rsidR="00AB70C5">
        <w:tab/>
      </w:r>
      <w:r w:rsidR="00AB70C5">
        <w:tab/>
      </w:r>
      <w:r w:rsidR="00AB70C5">
        <w:tab/>
      </w:r>
    </w:p>
    <w:p w14:paraId="4BC5C528" w14:textId="77777777" w:rsidR="00A61295" w:rsidRPr="00A61295" w:rsidRDefault="00A61295" w:rsidP="00A61295"/>
    <w:p w14:paraId="28FFCF7F" w14:textId="77777777" w:rsidR="00D00405" w:rsidRDefault="00A61295" w:rsidP="00A61295">
      <w:pPr>
        <w:ind w:left="720"/>
      </w:pPr>
      <w:r w:rsidRPr="00A61295">
        <w:t>A review of the rents and service charges will be carried out annually.</w:t>
      </w:r>
    </w:p>
    <w:p w14:paraId="2D3E7EFD" w14:textId="19531264" w:rsidR="00D00405" w:rsidRDefault="00D00405" w:rsidP="00A61295">
      <w:pPr>
        <w:ind w:left="720"/>
      </w:pPr>
      <w:r>
        <w:t xml:space="preserve">The Management Committee will consider the budget for the coming year, as well as investment plans as set out in the </w:t>
      </w:r>
      <w:proofErr w:type="gramStart"/>
      <w:r>
        <w:t>5 and 30 year</w:t>
      </w:r>
      <w:proofErr w:type="gramEnd"/>
      <w:r>
        <w:t xml:space="preserve"> plan. They shall also consider any perceived increase in costs in running the Association, other than those as set in the budget, which may impact the </w:t>
      </w:r>
      <w:r w:rsidR="00FC6819">
        <w:t>long-term</w:t>
      </w:r>
      <w:r>
        <w:t xml:space="preserve"> financial viability of the Association. After </w:t>
      </w:r>
      <w:r w:rsidR="00FC6819">
        <w:t>considering</w:t>
      </w:r>
      <w:r>
        <w:t xml:space="preserve"> the financial needs of the Association, the Management Committee will consider if the rents require to be reviewed. </w:t>
      </w:r>
      <w:r w:rsidR="00FC6819">
        <w:t>If</w:t>
      </w:r>
      <w:r>
        <w:t xml:space="preserve"> </w:t>
      </w:r>
      <w:r>
        <w:lastRenderedPageBreak/>
        <w:t xml:space="preserve">they consider a rent increase to be necessary, they will look, in accordance with the tenancy agreement, to carry out a consultation process. Once this is completed, the Management Committee will again look to discuss the proposed </w:t>
      </w:r>
      <w:r w:rsidR="00FC6819">
        <w:t>increase and</w:t>
      </w:r>
      <w:r>
        <w:t xml:space="preserve"> shall agree and finalise any change. </w:t>
      </w:r>
    </w:p>
    <w:p w14:paraId="28C4ECED" w14:textId="7ECFA5B9" w:rsidR="00A61295" w:rsidRPr="00A61295" w:rsidRDefault="00A61295" w:rsidP="00D00405"/>
    <w:p w14:paraId="25C219CA" w14:textId="77777777" w:rsidR="00A61295" w:rsidRPr="00A61295" w:rsidRDefault="00A61295" w:rsidP="00A61295">
      <w:pPr>
        <w:ind w:left="720"/>
      </w:pPr>
      <w:r w:rsidRPr="00A61295">
        <w:t>Any increase will be applied from 1</w:t>
      </w:r>
      <w:r w:rsidRPr="00A61295">
        <w:rPr>
          <w:vertAlign w:val="superscript"/>
        </w:rPr>
        <w:t>st</w:t>
      </w:r>
      <w:r w:rsidRPr="00A61295">
        <w:t xml:space="preserve"> April. All tenants and residents will be advised of any alteration to the rent and/or service charges in writing at least 28 days in advance of the new charge taking effect on 1</w:t>
      </w:r>
      <w:r w:rsidRPr="00A61295">
        <w:rPr>
          <w:vertAlign w:val="superscript"/>
        </w:rPr>
        <w:t>st</w:t>
      </w:r>
      <w:r w:rsidRPr="00A61295">
        <w:t xml:space="preserve"> April.</w:t>
      </w:r>
    </w:p>
    <w:p w14:paraId="22641E1F" w14:textId="77777777" w:rsidR="00A61295" w:rsidRPr="00A61295" w:rsidRDefault="00A61295" w:rsidP="00A61295">
      <w:pPr>
        <w:ind w:left="720"/>
      </w:pPr>
    </w:p>
    <w:p w14:paraId="75E44687" w14:textId="77777777" w:rsidR="00A61295" w:rsidRPr="00A61295" w:rsidRDefault="00A61295" w:rsidP="00A61295">
      <w:pPr>
        <w:ind w:left="720"/>
      </w:pPr>
    </w:p>
    <w:p w14:paraId="51729CE2" w14:textId="0A059971" w:rsidR="00A61295" w:rsidRPr="00A61295" w:rsidRDefault="00D00405" w:rsidP="00A61295">
      <w:pPr>
        <w:numPr>
          <w:ilvl w:val="0"/>
          <w:numId w:val="1"/>
        </w:numPr>
      </w:pPr>
      <w:r w:rsidRPr="00A61295">
        <w:rPr>
          <w:b/>
          <w:u w:val="single"/>
        </w:rPr>
        <w:t>Policy review</w:t>
      </w:r>
      <w:r w:rsidR="00A61295" w:rsidRPr="00A61295">
        <w:t xml:space="preserve"> </w:t>
      </w:r>
    </w:p>
    <w:p w14:paraId="34F95D0C" w14:textId="77777777" w:rsidR="00A61295" w:rsidRPr="00A61295" w:rsidRDefault="00A61295" w:rsidP="00A61295"/>
    <w:p w14:paraId="028A7063" w14:textId="72EEF2A9" w:rsidR="00E82374" w:rsidRDefault="00A61295" w:rsidP="00D00405">
      <w:pPr>
        <w:ind w:left="720"/>
      </w:pPr>
      <w:r w:rsidRPr="00A61295">
        <w:t xml:space="preserve">The Policy will be reviewed </w:t>
      </w:r>
      <w:r w:rsidR="00D00405">
        <w:t xml:space="preserve">in line with our policy review schedule. </w:t>
      </w:r>
    </w:p>
    <w:p w14:paraId="5EF654B1" w14:textId="77777777" w:rsidR="00D00405" w:rsidRDefault="00D00405" w:rsidP="00D00405"/>
    <w:p w14:paraId="6BEBBE21" w14:textId="0A7D63F6" w:rsidR="00D00405" w:rsidRDefault="00D00405" w:rsidP="00D00405">
      <w:pPr>
        <w:rPr>
          <w:b/>
          <w:bCs/>
          <w:u w:val="single"/>
        </w:rPr>
      </w:pPr>
      <w:r w:rsidRPr="00D00405">
        <w:rPr>
          <w:b/>
          <w:bCs/>
        </w:rPr>
        <w:t>10.</w:t>
      </w:r>
      <w:r w:rsidRPr="00D00405">
        <w:rPr>
          <w:b/>
          <w:bCs/>
        </w:rPr>
        <w:tab/>
      </w:r>
      <w:r w:rsidRPr="00D00405">
        <w:rPr>
          <w:b/>
          <w:bCs/>
          <w:u w:val="single"/>
        </w:rPr>
        <w:t>Equality and Diversity</w:t>
      </w:r>
    </w:p>
    <w:p w14:paraId="05D87B76" w14:textId="77777777" w:rsidR="00D00405" w:rsidRDefault="00D00405" w:rsidP="00D00405">
      <w:pPr>
        <w:rPr>
          <w:b/>
          <w:bCs/>
          <w:u w:val="single"/>
        </w:rPr>
      </w:pPr>
    </w:p>
    <w:p w14:paraId="1FBA8874" w14:textId="71E04178" w:rsidR="00D00405" w:rsidRPr="00D00405" w:rsidRDefault="00D00405" w:rsidP="00D00405">
      <w:pPr>
        <w:ind w:left="720"/>
        <w:rPr>
          <w:lang w:val="en-US"/>
        </w:rPr>
      </w:pPr>
      <w:r w:rsidRPr="00D00405">
        <w:rPr>
          <w:lang w:val="en-US"/>
        </w:rPr>
        <w:t xml:space="preserve">As a service provider and </w:t>
      </w:r>
      <w:r w:rsidR="00FC6819" w:rsidRPr="00D00405">
        <w:rPr>
          <w:lang w:val="en-US"/>
        </w:rPr>
        <w:t>employer,</w:t>
      </w:r>
      <w:r w:rsidRPr="00D00405">
        <w:rPr>
          <w:lang w:val="en-US"/>
        </w:rPr>
        <w:t xml:space="preserve"> we </w:t>
      </w:r>
      <w:proofErr w:type="spellStart"/>
      <w:r w:rsidRPr="00D00405">
        <w:rPr>
          <w:lang w:val="en-US"/>
        </w:rPr>
        <w:t>recognise</w:t>
      </w:r>
      <w:proofErr w:type="spellEnd"/>
      <w:r w:rsidRPr="00D00405">
        <w:rPr>
          <w:lang w:val="en-US"/>
        </w:rPr>
        <w:t xml:space="preserve"> the requirements of the Equality Act 2010, oppose any form of discrimination and will treat all customers, internal and external, with dignity and respect. We </w:t>
      </w:r>
      <w:proofErr w:type="spellStart"/>
      <w:r w:rsidRPr="00D00405">
        <w:rPr>
          <w:lang w:val="en-US"/>
        </w:rPr>
        <w:t>recognise</w:t>
      </w:r>
      <w:proofErr w:type="spellEnd"/>
      <w:r w:rsidRPr="00D00405">
        <w:rPr>
          <w:lang w:val="en-US"/>
        </w:rPr>
        <w:t xml:space="preserve"> diversity and will ensure that </w:t>
      </w:r>
      <w:r w:rsidR="00FC6819" w:rsidRPr="00D00405">
        <w:rPr>
          <w:lang w:val="en-US"/>
        </w:rPr>
        <w:t>all</w:t>
      </w:r>
      <w:r w:rsidRPr="00D00405">
        <w:rPr>
          <w:lang w:val="en-US"/>
        </w:rPr>
        <w:t xml:space="preserve"> our actions ensure accessibility and reduce barriers to employment and the services we provide.</w:t>
      </w:r>
    </w:p>
    <w:p w14:paraId="24916480" w14:textId="521198F7" w:rsidR="00D00405" w:rsidRPr="00D00405" w:rsidRDefault="00D00405" w:rsidP="00D00405"/>
    <w:sectPr w:rsidR="00D00405" w:rsidRPr="00D00405" w:rsidSect="007246DA">
      <w:headerReference w:type="even" r:id="rId10"/>
      <w:headerReference w:type="default" r:id="rId11"/>
      <w:footerReference w:type="even" r:id="rId12"/>
      <w:footerReference w:type="default" r:id="rId13"/>
      <w:headerReference w:type="first" r:id="rId14"/>
      <w:footerReference w:type="first" r:id="rId15"/>
      <w:pgSz w:w="11909" w:h="16834" w:code="9"/>
      <w:pgMar w:top="709" w:right="1418" w:bottom="737" w:left="1418" w:header="0" w:footer="1310" w:gutter="0"/>
      <w:paperSrc w:first="1" w:other="1"/>
      <w:cols w:space="708"/>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5287E2" w14:textId="77777777" w:rsidR="00425783" w:rsidRDefault="00425783" w:rsidP="001E365B">
      <w:r>
        <w:separator/>
      </w:r>
    </w:p>
  </w:endnote>
  <w:endnote w:type="continuationSeparator" w:id="0">
    <w:p w14:paraId="6A1B93A4" w14:textId="77777777" w:rsidR="00425783" w:rsidRDefault="00425783" w:rsidP="001E36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A3DEFF" w14:textId="77777777" w:rsidR="002479FE" w:rsidRDefault="002479F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8D5B2B" w14:textId="77777777" w:rsidR="002479FE" w:rsidRDefault="002479F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616566" w14:textId="77777777" w:rsidR="002479FE" w:rsidRDefault="002479F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8563D3" w14:textId="77777777" w:rsidR="00425783" w:rsidRDefault="00425783" w:rsidP="001E365B">
      <w:r>
        <w:separator/>
      </w:r>
    </w:p>
  </w:footnote>
  <w:footnote w:type="continuationSeparator" w:id="0">
    <w:p w14:paraId="25DEE30B" w14:textId="77777777" w:rsidR="00425783" w:rsidRDefault="00425783" w:rsidP="001E36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1A9A40" w14:textId="77777777" w:rsidR="002479FE" w:rsidRDefault="002479F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58BD9E" w14:textId="7678A03E" w:rsidR="002479FE" w:rsidRDefault="002479F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9EE4D5" w14:textId="77777777" w:rsidR="002479FE" w:rsidRDefault="002479F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D566D9"/>
    <w:multiLevelType w:val="singleLevel"/>
    <w:tmpl w:val="E200ACB2"/>
    <w:lvl w:ilvl="0">
      <w:start w:val="1"/>
      <w:numFmt w:val="lowerLetter"/>
      <w:lvlText w:val="%1)"/>
      <w:lvlJc w:val="left"/>
      <w:pPr>
        <w:tabs>
          <w:tab w:val="num" w:pos="1571"/>
        </w:tabs>
        <w:ind w:left="1571" w:hanging="720"/>
      </w:pPr>
      <w:rPr>
        <w:rFonts w:hint="default"/>
      </w:rPr>
    </w:lvl>
  </w:abstractNum>
  <w:abstractNum w:abstractNumId="1" w15:restartNumberingAfterBreak="0">
    <w:nsid w:val="75884668"/>
    <w:multiLevelType w:val="singleLevel"/>
    <w:tmpl w:val="6D3AB652"/>
    <w:lvl w:ilvl="0">
      <w:start w:val="1"/>
      <w:numFmt w:val="decimal"/>
      <w:lvlText w:val="%1."/>
      <w:lvlJc w:val="left"/>
      <w:pPr>
        <w:tabs>
          <w:tab w:val="num" w:pos="720"/>
        </w:tabs>
        <w:ind w:left="720" w:hanging="720"/>
      </w:pPr>
      <w:rPr>
        <w:rFonts w:hint="default"/>
        <w:b/>
      </w:rPr>
    </w:lvl>
  </w:abstractNum>
  <w:num w:numId="1" w16cid:durableId="1290550679">
    <w:abstractNumId w:val="1"/>
  </w:num>
  <w:num w:numId="2" w16cid:durableId="3854928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rawingGridVerticalSpacing w:val="163"/>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1295"/>
    <w:rsid w:val="00035914"/>
    <w:rsid w:val="000544B5"/>
    <w:rsid w:val="00055CF9"/>
    <w:rsid w:val="001E365B"/>
    <w:rsid w:val="001E3A6D"/>
    <w:rsid w:val="002479FE"/>
    <w:rsid w:val="00275E54"/>
    <w:rsid w:val="0037030D"/>
    <w:rsid w:val="004230FD"/>
    <w:rsid w:val="00425783"/>
    <w:rsid w:val="00483D37"/>
    <w:rsid w:val="004B0A24"/>
    <w:rsid w:val="005A3E33"/>
    <w:rsid w:val="007246DA"/>
    <w:rsid w:val="007251C6"/>
    <w:rsid w:val="00742B45"/>
    <w:rsid w:val="00770870"/>
    <w:rsid w:val="007F6EDC"/>
    <w:rsid w:val="008D3DF0"/>
    <w:rsid w:val="00935DFD"/>
    <w:rsid w:val="00A61295"/>
    <w:rsid w:val="00AB70C5"/>
    <w:rsid w:val="00B71B4F"/>
    <w:rsid w:val="00BA4865"/>
    <w:rsid w:val="00BC7165"/>
    <w:rsid w:val="00BD31E7"/>
    <w:rsid w:val="00C07F66"/>
    <w:rsid w:val="00CC205E"/>
    <w:rsid w:val="00CE1102"/>
    <w:rsid w:val="00D00405"/>
    <w:rsid w:val="00E82374"/>
    <w:rsid w:val="00EB475A"/>
    <w:rsid w:val="00F35375"/>
    <w:rsid w:val="00F379AC"/>
    <w:rsid w:val="00F90125"/>
    <w:rsid w:val="00FC681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E19E30"/>
  <w15:chartTrackingRefBased/>
  <w15:docId w15:val="{5031EFFE-6F02-4493-9D88-122899172C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napToGrid w:val="0"/>
        <w:sz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1295"/>
    <w:rPr>
      <w:snapToGrid/>
      <w:szCs w:val="24"/>
      <w:lang w:eastAsia="en-US"/>
    </w:rPr>
  </w:style>
  <w:style w:type="paragraph" w:styleId="Heading1">
    <w:name w:val="heading 1"/>
    <w:basedOn w:val="Normal"/>
    <w:next w:val="Normal"/>
    <w:link w:val="Heading1Char"/>
    <w:qFormat/>
    <w:rsid w:val="00A61295"/>
    <w:pPr>
      <w:keepNext/>
      <w:jc w:val="center"/>
      <w:outlineLvl w:val="0"/>
    </w:pPr>
    <w:rPr>
      <w:rFonts w:ascii="Times New Roman" w:eastAsia="Times New Roman" w:hAnsi="Times New Roman" w:cs="Times New Roman"/>
      <w:b/>
      <w:sz w:val="28"/>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61295"/>
    <w:rPr>
      <w:rFonts w:ascii="Times New Roman" w:eastAsia="Times New Roman" w:hAnsi="Times New Roman" w:cs="Times New Roman"/>
      <w:b/>
      <w:snapToGrid/>
      <w:sz w:val="28"/>
    </w:rPr>
  </w:style>
  <w:style w:type="paragraph" w:styleId="Header">
    <w:name w:val="header"/>
    <w:basedOn w:val="Normal"/>
    <w:link w:val="HeaderChar"/>
    <w:uiPriority w:val="99"/>
    <w:unhideWhenUsed/>
    <w:rsid w:val="00A61295"/>
    <w:pPr>
      <w:tabs>
        <w:tab w:val="center" w:pos="4513"/>
        <w:tab w:val="right" w:pos="9026"/>
      </w:tabs>
    </w:pPr>
    <w:rPr>
      <w:rFonts w:ascii="Times New Roman" w:eastAsia="Times New Roman" w:hAnsi="Times New Roman" w:cs="Times New Roman"/>
      <w:spacing w:val="-3"/>
      <w:szCs w:val="20"/>
    </w:rPr>
  </w:style>
  <w:style w:type="character" w:customStyle="1" w:styleId="HeaderChar">
    <w:name w:val="Header Char"/>
    <w:basedOn w:val="DefaultParagraphFont"/>
    <w:link w:val="Header"/>
    <w:uiPriority w:val="99"/>
    <w:rsid w:val="00A61295"/>
    <w:rPr>
      <w:rFonts w:ascii="Times New Roman" w:eastAsia="Times New Roman" w:hAnsi="Times New Roman" w:cs="Times New Roman"/>
      <w:snapToGrid/>
      <w:spacing w:val="-3"/>
      <w:lang w:eastAsia="en-US"/>
    </w:rPr>
  </w:style>
  <w:style w:type="paragraph" w:styleId="Footer">
    <w:name w:val="footer"/>
    <w:basedOn w:val="Normal"/>
    <w:link w:val="FooterChar"/>
    <w:uiPriority w:val="99"/>
    <w:unhideWhenUsed/>
    <w:rsid w:val="00A61295"/>
    <w:pPr>
      <w:tabs>
        <w:tab w:val="center" w:pos="4513"/>
        <w:tab w:val="right" w:pos="9026"/>
      </w:tabs>
    </w:pPr>
    <w:rPr>
      <w:rFonts w:ascii="Times New Roman" w:eastAsia="Times New Roman" w:hAnsi="Times New Roman" w:cs="Times New Roman"/>
      <w:spacing w:val="-3"/>
      <w:szCs w:val="20"/>
    </w:rPr>
  </w:style>
  <w:style w:type="character" w:customStyle="1" w:styleId="FooterChar">
    <w:name w:val="Footer Char"/>
    <w:basedOn w:val="DefaultParagraphFont"/>
    <w:link w:val="Footer"/>
    <w:uiPriority w:val="99"/>
    <w:rsid w:val="00A61295"/>
    <w:rPr>
      <w:rFonts w:ascii="Times New Roman" w:eastAsia="Times New Roman" w:hAnsi="Times New Roman" w:cs="Times New Roman"/>
      <w:snapToGrid/>
      <w:spacing w:val="-3"/>
      <w:lang w:eastAsia="en-US"/>
    </w:rPr>
  </w:style>
  <w:style w:type="character" w:styleId="CommentReference">
    <w:name w:val="annotation reference"/>
    <w:basedOn w:val="DefaultParagraphFont"/>
    <w:uiPriority w:val="99"/>
    <w:semiHidden/>
    <w:unhideWhenUsed/>
    <w:rsid w:val="00A61295"/>
    <w:rPr>
      <w:sz w:val="16"/>
      <w:szCs w:val="16"/>
    </w:rPr>
  </w:style>
  <w:style w:type="paragraph" w:styleId="CommentText">
    <w:name w:val="annotation text"/>
    <w:basedOn w:val="Normal"/>
    <w:link w:val="CommentTextChar"/>
    <w:uiPriority w:val="99"/>
    <w:semiHidden/>
    <w:unhideWhenUsed/>
    <w:rsid w:val="00A61295"/>
    <w:rPr>
      <w:rFonts w:ascii="Times New Roman" w:eastAsia="Times New Roman" w:hAnsi="Times New Roman" w:cs="Times New Roman"/>
      <w:spacing w:val="-3"/>
      <w:sz w:val="20"/>
      <w:szCs w:val="20"/>
    </w:rPr>
  </w:style>
  <w:style w:type="character" w:customStyle="1" w:styleId="CommentTextChar">
    <w:name w:val="Comment Text Char"/>
    <w:basedOn w:val="DefaultParagraphFont"/>
    <w:link w:val="CommentText"/>
    <w:uiPriority w:val="99"/>
    <w:semiHidden/>
    <w:rsid w:val="00A61295"/>
    <w:rPr>
      <w:rFonts w:ascii="Times New Roman" w:eastAsia="Times New Roman" w:hAnsi="Times New Roman" w:cs="Times New Roman"/>
      <w:snapToGrid/>
      <w:spacing w:val="-3"/>
      <w:sz w:val="20"/>
      <w:lang w:eastAsia="en-US"/>
    </w:rPr>
  </w:style>
  <w:style w:type="table" w:styleId="TableGrid">
    <w:name w:val="Table Grid"/>
    <w:basedOn w:val="TableNormal"/>
    <w:uiPriority w:val="39"/>
    <w:rsid w:val="00A61295"/>
    <w:rPr>
      <w:snapToGrid/>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file:///C:\Users\Daniel\Desktop\Logo.jpg"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8BEEC8-3E6D-4C14-8189-28C2796023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5</Pages>
  <Words>899</Words>
  <Characters>4734</Characters>
  <Application>Microsoft Office Word</Application>
  <DocSecurity>0</DocSecurity>
  <Lines>193</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Immelman</dc:creator>
  <cp:keywords/>
  <dc:description/>
  <cp:lastModifiedBy>Lauren McKinlay</cp:lastModifiedBy>
  <cp:revision>9</cp:revision>
  <cp:lastPrinted>2026-02-18T12:38:00Z</cp:lastPrinted>
  <dcterms:created xsi:type="dcterms:W3CDTF">2023-02-16T16:02:00Z</dcterms:created>
  <dcterms:modified xsi:type="dcterms:W3CDTF">2026-02-18T12:50:00Z</dcterms:modified>
</cp:coreProperties>
</file>